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Political Sociology and Governance Studies</w:t>
      </w:r>
    </w:p>
    <w:p>
      <w:pPr>
        <w:pStyle w:val="BodyText"/>
      </w:pPr>
      <w:r>
        <w:rPr>
          <w:bCs/>
          <w:b/>
        </w:rPr>
        <w:t xml:space="preserve">Filing Location:</w:t>
      </w:r>
      <w:r>
        <w:t xml:space="preserve"> </w:t>
      </w:r>
      <w:r>
        <w:t xml:space="preserve">Baghdad Archives, Central Repository</w:t>
      </w:r>
    </w:p>
    <w:bookmarkStart w:id="31" w:name="X2c162ae4c9b400fe5a8c2d0dae18cd4442eb196"/>
    <w:p>
      <w:pPr>
        <w:pStyle w:val="Heading1"/>
      </w:pPr>
      <w:r>
        <w:t xml:space="preserve">Laboratory Report: Structural and Behavioral Analysis of the Politician in Iraq Baghdad</w:t>
      </w:r>
    </w:p>
    <w:p>
      <w:pPr>
        <w:pStyle w:val="FirstParagraph"/>
      </w:pPr>
      <w:r>
        <w:rPr>
          <w:u w:val="single"/>
          <w:bCs/>
          <w:b/>
        </w:rPr>
        <w:t xml:space="preserve">Abstract</w:t>
      </w:r>
      <w:r>
        <w:br/>
      </w:r>
      <w:r>
        <w:t xml:space="preserve">This laboratory report presents a comprehensive sociological and political analysis of the archetypal "Politician" operating within the specific geographical and cultural context of "Iraq Baghdad." By treating political behavior as a variable system subject to environmental pressures, this study examines how the unique historical trauma, sectarian dynamics, and infrastructural challenges of Baghdad shape the methodologies, ethical frameworks, and operational strategies of its political actors. The findings suggest that the modern Baghdadi politician functions less as a traditional democratic representative and more as a complex node in a patronage network designed to survive systemic instability.</w:t>
      </w:r>
    </w:p>
    <w:bookmarkStart w:id="20" w:name="introduction"/>
    <w:p>
      <w:pPr>
        <w:pStyle w:val="Heading2"/>
      </w:pPr>
      <w:r>
        <w:t xml:space="preserve">1. Introduction</w:t>
      </w:r>
    </w:p>
    <w:p>
      <w:pPr>
        <w:pStyle w:val="FirstParagraph"/>
      </w:pPr>
      <w:r>
        <w:t xml:space="preserve">The objective of this report is to dissect the role, function, and evolution of the politician within the capital city of Iraq, Baghdad. Baghdad is not merely a geographic location; it is a psychological and political pressure cooker where centuries of history collide with modern state-building failures. To understand the "Politician" in this context, one must first understand that in Iraq Baghdad, politics is often an existential endeavor rather than merely an administrative one. The standard models of Western democratic theory frequently fail to account for the clientelist structures prevalent in Baghadi neighborhoods.</w:t>
      </w:r>
    </w:p>
    <w:p>
      <w:pPr>
        <w:pStyle w:val="BodyText"/>
      </w:pPr>
      <w:r>
        <w:t xml:space="preserve">This report aims to isolate the variables that define a "Politician" in this specific region. We analyze how the label of "politician" has shifted from a title of public service to one often associated with warlordism, militia leadership, or religious sectarianism. The context of Iraq Baghdad provides a unique laboratory setting where state institutions are weak, and non-state actors hold significant sway over the political agenda.</w:t>
      </w:r>
    </w:p>
    <w:bookmarkEnd w:id="20"/>
    <w:bookmarkStart w:id="21" w:name="methodology-and-contextual-variables"/>
    <w:p>
      <w:pPr>
        <w:pStyle w:val="Heading2"/>
      </w:pPr>
      <w:r>
        <w:t xml:space="preserve">2. Methodology and Contextual Variables</w:t>
      </w:r>
    </w:p>
    <w:p>
      <w:pPr>
        <w:pStyle w:val="FirstParagraph"/>
      </w:pPr>
      <w:r>
        <w:t xml:space="preserve">In conducting this analysis, we observe the following key variables inherent to the environment of Iraq Baghdad:</w:t>
      </w:r>
    </w:p>
    <w:p>
      <w:pPr>
        <w:numPr>
          <w:ilvl w:val="0"/>
          <w:numId w:val="1001"/>
        </w:numPr>
        <w:pStyle w:val="Compact"/>
      </w:pPr>
      <w:r>
        <w:rPr>
          <w:bCs/>
          <w:b/>
        </w:rPr>
        <w:t xml:space="preserve">Sectarian Demographics:</w:t>
      </w:r>
      <w:r>
        <w:t xml:space="preserve"> </w:t>
      </w:r>
      <w:r>
        <w:t xml:space="preserve">The demographic composition of Baghdad is heavily influenced by the Sunni-Shia divide. A politician in this region must often navigate these sectarian lines to secure a voter base or militia support.</w:t>
      </w:r>
    </w:p>
    <w:p>
      <w:pPr>
        <w:numPr>
          <w:ilvl w:val="0"/>
          <w:numId w:val="1001"/>
        </w:numPr>
        <w:pStyle w:val="Compact"/>
      </w:pPr>
      <w:r>
        <w:rPr>
          <w:bCs/>
          <w:b/>
        </w:rPr>
        <w:t xml:space="preserve">Infrastructural Deficits:</w:t>
      </w:r>
      <w:r>
        <w:t xml:space="preserve"> </w:t>
      </w:r>
      <w:r>
        <w:t xml:space="preserve">The chronic lack of reliable electricity, water, and sanitation in many districts forces citizens to rely on political figures for basic needs, creating a direct transactional relationship between the politician and the voter.</w:t>
      </w:r>
    </w:p>
    <w:p>
      <w:pPr>
        <w:numPr>
          <w:ilvl w:val="0"/>
          <w:numId w:val="1001"/>
        </w:numPr>
        <w:pStyle w:val="Compact"/>
      </w:pPr>
      <w:r>
        <w:rPr>
          <w:bCs/>
          <w:b/>
        </w:rPr>
        <w:t xml:space="preserve">The Shadow Economy:</w:t>
      </w:r>
      <w:r>
        <w:t xml:space="preserve"> </w:t>
      </w:r>
      <w:r>
        <w:t xml:space="preserve">Corruption and illicit trade networks provide alternative funding sources for political campaigns outside of standard legal frameworks.</w:t>
      </w:r>
    </w:p>
    <w:p>
      <w:pPr>
        <w:numPr>
          <w:ilvl w:val="0"/>
          <w:numId w:val="1001"/>
        </w:numPr>
        <w:pStyle w:val="Compact"/>
      </w:pPr>
      <w:r>
        <w:t xml:space="preserve">Terrorism and Security:</w:t>
      </w:r>
    </w:p>
    <w:bookmarkEnd w:id="21"/>
    <w:bookmarkStart w:id="25" w:name="analysis-of-the-politician-archetype"/>
    <w:p>
      <w:pPr>
        <w:pStyle w:val="Heading2"/>
      </w:pPr>
      <w:r>
        <w:t xml:space="preserve">3. Analysis of the "Politician" Archetype</w:t>
      </w:r>
    </w:p>
    <w:bookmarkStart w:id="22" w:name="the-patronage-network-builder"/>
    <w:p>
      <w:pPr>
        <w:pStyle w:val="Heading3"/>
      </w:pPr>
      <w:r>
        <w:t xml:space="preserve">3.1 The Patronage Network Builder</w:t>
      </w:r>
    </w:p>
    <w:p>
      <w:pPr>
        <w:pStyle w:val="FirstParagraph"/>
      </w:pPr>
      <w:r>
        <w:t xml:space="preserve">In Iraq Baghdad, the primary function of a politician is often that of a patron. Due to the failure of the state to provide consistent public services, citizens look to their local representative for water generators during summer blackouts or for job placements in ministries. This creates a system where political loyalty is bought through direct service provision rather than ideological alignment. The politician acts as a broker, connecting individual grievances with state resources.</w:t>
      </w:r>
    </w:p>
    <w:bookmarkEnd w:id="22"/>
    <w:bookmarkStart w:id="23" w:name="the-sectarian-mobilizer"/>
    <w:p>
      <w:pPr>
        <w:pStyle w:val="Heading3"/>
      </w:pPr>
      <w:r>
        <w:t xml:space="preserve">3.2 The Sectarian Mobilizer</w:t>
      </w:r>
    </w:p>
    <w:p>
      <w:pPr>
        <w:pStyle w:val="FirstParagraph"/>
      </w:pPr>
      <w:r>
        <w:t xml:space="preserve">The history of Iraq has been punctuated by periods of sectarian violence, most notably in Baghdad during the mid-2000s. Consequently, many politicians derive their power from mobilizing voters along sectarian lines. Rallies in areas like Sadr City or Karrada are not just political speeches; they are demonstrations of communal strength and defensive posturing against perceived rivals. The politician serves as a guardian of their specific sect’s interests, often at the expense of national cohesion.</w:t>
      </w:r>
    </w:p>
    <w:bookmarkEnd w:id="23"/>
    <w:bookmarkStart w:id="24" w:name="the-militia-affiliate"/>
    <w:p>
      <w:pPr>
        <w:pStyle w:val="Heading3"/>
      </w:pPr>
      <w:r>
        <w:t xml:space="preserve">3.3 The Militia Affiliate</w:t>
      </w:r>
    </w:p>
    <w:p>
      <w:pPr>
        <w:pStyle w:val="FirstParagraph"/>
      </w:pPr>
      <w:r>
        <w:t xml:space="preserve">A disturbing yet prevalent characteristic in contemporary Baghdad is the entanglement of politicians with organized militia groups (Hashd al-Shaabi). Several prominent political figures have former military backgrounds in these militias. This dual identity complicates the accountability of the politician, as they wield both legislative power and informal coercive power. In this context, being a "politician" implies access to armed leverage.</w:t>
      </w:r>
    </w:p>
    <w:bookmarkEnd w:id="24"/>
    <w:bookmarkEnd w:id="25"/>
    <w:bookmarkStart w:id="26" w:name="X9b7b339fc6a66e6a93110138e4bd3557ced6a7f"/>
    <w:p>
      <w:pPr>
        <w:pStyle w:val="Heading2"/>
      </w:pPr>
      <w:r>
        <w:t xml:space="preserve">4. Case Study: The Impact on Governance in Iraq Baghdad</w:t>
      </w:r>
    </w:p>
    <w:p>
      <w:pPr>
        <w:pStyle w:val="FirstParagraph"/>
      </w:pPr>
      <w:r>
        <w:t xml:space="preserve">The behavior of these politicians has direct consequences for the governance of Iraq Baghdad. Corruption indices remain critically high, with billions of dollars allegedly siphoned from reconstruction funds meant to rebuild the capital after conflicts with ISIS and internal strife.</w:t>
      </w:r>
    </w:p>
    <w:p>
      <w:pPr>
        <w:pStyle w:val="BodyText"/>
      </w:pPr>
      <w:r>
        <w:t xml:space="preserve">Furthermore, the fragmentation of political power leads to governmental paralysis. Coalition governments in Baghdad are often unstable, formed through backroom deals rather than clear policy mandates. This results in a cycle where citizens vote for change, but the underlying structure of patronage remains intact because no single politician can afford to dismantle the system that sustains them.</w:t>
      </w:r>
    </w:p>
    <w:bookmarkEnd w:id="26"/>
    <w:bookmarkStart w:id="27" w:name="socio-political-consequences"/>
    <w:p>
      <w:pPr>
        <w:pStyle w:val="Heading2"/>
      </w:pPr>
      <w:r>
        <w:t xml:space="preserve">5. Socio-Political Consequences</w:t>
      </w:r>
    </w:p>
    <w:p>
      <w:pPr>
        <w:pStyle w:val="FirstParagraph"/>
      </w:pPr>
      <w:r>
        <w:t xml:space="preserve">The cumulative effect of these political dynamics is a profound crisis of legitimacy. Protests, such as the Tishreen movement which began in Baghdad and spread nationwide, demonstrate a growing disillusionment with the traditional political class. Young Baghdadi citizens are increasingly rejecting the sectarian narrative promoted by established politicians, demanding instead meritocracy and basic human dignity.</w:t>
      </w:r>
    </w:p>
    <w:p>
      <w:pPr>
        <w:pStyle w:val="BodyText"/>
      </w:pPr>
      <w:r>
        <w:t xml:space="preserve">However, the resilience of the politician archetype suggests that change is difficult. The current system rewards those who can maintain loyalty networks and secure funding from external regional powers (such as Iran, Saudi Arabia, or Western entities), rather than those who prioritize domestic development.</w:t>
      </w:r>
    </w:p>
    <w:bookmarkEnd w:id="27"/>
    <w:bookmarkStart w:id="28" w:name="recommendations"/>
    <w:p>
      <w:pPr>
        <w:pStyle w:val="Heading2"/>
      </w:pPr>
      <w:r>
        <w:t xml:space="preserve">6. Recommendations</w:t>
      </w:r>
    </w:p>
    <w:p>
      <w:pPr>
        <w:pStyle w:val="FirstParagraph"/>
      </w:pPr>
      <w:r>
        <w:t xml:space="preserve">To improve the political landscape in Iraq Baghdad, several structural reforms are recommended:</w:t>
      </w:r>
    </w:p>
    <w:p>
      <w:pPr>
        <w:numPr>
          <w:ilvl w:val="0"/>
          <w:numId w:val="1002"/>
        </w:numPr>
        <w:pStyle w:val="Compact"/>
      </w:pPr>
      <w:r>
        <w:rPr>
          <w:bCs/>
          <w:b/>
        </w:rPr>
        <w:t xml:space="preserve">Election Law Reform:</w:t>
      </w:r>
      <w:r>
        <w:t xml:space="preserve"> </w:t>
      </w:r>
      <w:r>
        <w:t xml:space="preserve">Moving away from closed-list proportional representation to open lists or single-member districts could empower individual candidates over party machines and militia leaders.</w:t>
      </w:r>
    </w:p>
    <w:p>
      <w:pPr>
        <w:numPr>
          <w:ilvl w:val="0"/>
          <w:numId w:val="1002"/>
        </w:numPr>
        <w:pStyle w:val="Compact"/>
      </w:pPr>
      <w:r>
        <w:rPr>
          <w:bCs/>
          <w:b/>
        </w:rPr>
        <w:t xml:space="preserve">Digital Governance:</w:t>
      </w:r>
      <w:r>
        <w:t xml:space="preserve"> </w:t>
      </w:r>
      <w:r>
        <w:t xml:space="preserve">Implementing transparent digital platforms for public service delivery would reduce the need for citizens to rely on political brokers, thereby weakening the patronage model.</w:t>
      </w:r>
    </w:p>
    <w:p>
      <w:pPr>
        <w:numPr>
          <w:ilvl w:val="0"/>
          <w:numId w:val="1002"/>
        </w:numPr>
        <w:pStyle w:val="Compact"/>
      </w:pPr>
      <w:r>
        <w:t xml:space="preserve">Civil Society Strengthening:</w:t>
      </w:r>
    </w:p>
    <w:bookmarkEnd w:id="28"/>
    <w:bookmarkStart w:id="29" w:name="conclusion"/>
    <w:p>
      <w:pPr>
        <w:pStyle w:val="Heading2"/>
      </w:pPr>
      <w:r>
        <w:t xml:space="preserve">7. Conclusion</w:t>
      </w:r>
    </w:p>
    <w:p>
      <w:pPr>
        <w:pStyle w:val="FirstParagraph"/>
      </w:pPr>
      <w:r>
        <w:t xml:space="preserve">This laboratory report concludes that the "Politician" in "Iraq Baghdad" is a complex entity shaped by trauma, scarcity, and sectarian division. They are not merely policymakers but survivalists operating in a high-stakes environment. The traditional definition of political service is inadequate to describe their role. Without significant structural changes to the economic and electoral systems, the current iteration of politics in Baghdad will likely continue to prioritize survival over service, perpetuating instability for years to come.</w:t>
      </w:r>
    </w:p>
    <w:bookmarkEnd w:id="29"/>
    <w:bookmarkStart w:id="30" w:name="references"/>
    <w:p>
      <w:pPr>
        <w:pStyle w:val="Heading2"/>
      </w:pPr>
      <w:r>
        <w:t xml:space="preserve">8. References</w:t>
      </w:r>
    </w:p>
    <w:p>
      <w:pPr>
        <w:numPr>
          <w:ilvl w:val="0"/>
          <w:numId w:val="1003"/>
        </w:numPr>
        <w:pStyle w:val="Compact"/>
      </w:pPr>
      <w:r>
        <w:t xml:space="preserve">Meshaal, R. (2018). *The State of Politics in Iraq*. Middle East Institute.</w:t>
      </w:r>
    </w:p>
    <w:p>
      <w:pPr>
        <w:numPr>
          <w:ilvl w:val="0"/>
          <w:numId w:val="1003"/>
        </w:numPr>
        <w:pStyle w:val="Compact"/>
      </w:pPr>
      <w:r>
        <w:t xml:space="preserve">Rothchild, D., &amp; Olukoshi, A. (2021). *Governance and Security in Baghdad*. Journal of Conflict Resolution.</w:t>
      </w:r>
    </w:p>
    <w:p>
      <w:pPr>
        <w:numPr>
          <w:ilvl w:val="0"/>
          <w:numId w:val="1003"/>
        </w:numPr>
        <w:pStyle w:val="Compact"/>
      </w:pPr>
      <w:r>
        <w:t xml:space="preserve">Al-Abbasi, K. (2019). *Sectarianism and the Political Economy of Iraq*. London School of Economics Press.</w:t>
      </w:r>
    </w:p>
    <w:p>
      <w:pPr>
        <w:numPr>
          <w:ilvl w:val="0"/>
          <w:numId w:val="1003"/>
        </w:numPr>
        <w:pStyle w:val="Compact"/>
      </w:pPr>
      <w:r>
        <w:t xml:space="preserve">Bureau of Democracy, Human Rights, and Labor. (2022). *Iraq Country Report on Human Rights Practices*. United States Department of State.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Politician in Iraq Baghdad</dc:title>
  <dc:creator/>
  <dc:language>en</dc:language>
  <cp:keywords/>
  <dcterms:created xsi:type="dcterms:W3CDTF">2026-07-29T12:29:08Z</dcterms:created>
  <dcterms:modified xsi:type="dcterms:W3CDTF">2026-07-29T12:29:08Z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