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Political</w:t>
      </w:r>
      <w:r>
        <w:t xml:space="preserve"> </w:t>
      </w:r>
      <w:r>
        <w:t xml:space="preserve">Dynamics</w:t>
      </w:r>
      <w:r>
        <w:t xml:space="preserve"> </w:t>
      </w:r>
      <w:r>
        <w:t xml:space="preserve">in</w:t>
      </w:r>
      <w:r>
        <w:t xml:space="preserve"> </w:t>
      </w:r>
      <w:r>
        <w:t xml:space="preserve">Ankara,</w:t>
      </w:r>
      <w:r>
        <w:t xml:space="preserve"> </w:t>
      </w:r>
      <w:r>
        <w:t xml:space="preserve">Turkey</w:t>
      </w:r>
    </w:p>
    <w:p>
      <w:pPr>
        <w:pStyle w:val="FirstParagraph"/>
      </w:pPr>
      <w:r>
        <w:t xml:space="preserve">```html</w:t>
      </w:r>
    </w:p>
    <w:bookmarkStart w:id="32" w:name="X06f6224c7d69c42ab3c2d067de5c847e7a64b88"/>
    <w:p>
      <w:pPr>
        <w:pStyle w:val="Heading1"/>
      </w:pPr>
      <w:r>
        <w:t xml:space="preserve">Laboratory Report on Socio-Political Field Observations</w:t>
      </w:r>
    </w:p>
    <w:p>
      <w:pPr>
        <w:pStyle w:val="FirstParagraph"/>
      </w:pPr>
      <w:r>
        <w:rPr>
          <w:bCs/>
          <w:b/>
        </w:rPr>
        <w:t xml:space="preserve">Date:</w:t>
      </w:r>
      <w:r>
        <w:t xml:space="preserve"> </w:t>
      </w:r>
      <w:r>
        <w:t xml:space="preserve">October 24, 2023</w:t>
      </w:r>
      <w:r>
        <w:br/>
      </w:r>
      <w:r>
        <w:rPr>
          <w:bCs/>
          <w:b/>
        </w:rPr>
        <w:t xml:space="preserve">District of Investigation:</w:t>
      </w:r>
      <w:r>
        <w:t xml:space="preserve"> </w:t>
      </w:r>
      <w:r>
        <w:t xml:space="preserve">Ankara, Turkey</w:t>
      </w:r>
      <w:r>
        <w:br/>
      </w:r>
    </w:p>
    <w:p>
      <w:pPr>
        <w:pStyle w:val="BodyText"/>
      </w:pPr>
      <w:r>
        <w:t xml:space="preserve">The Modern Politician</w:t>
      </w:r>
    </w:p>
    <w:bookmarkStart w:id="20" w:name="executive-summary-and-abstract"/>
    <w:p>
      <w:pPr>
        <w:pStyle w:val="Heading2"/>
      </w:pPr>
      <w:r>
        <w:t xml:space="preserve">1. Executive Summary and Abstract</w:t>
      </w:r>
    </w:p>
    <w:p>
      <w:pPr>
        <w:pStyle w:val="FirstParagraph"/>
      </w:pPr>
      <w:r>
        <w:t xml:space="preserve">This report serves as a comprehensive examination of the role, behavior, and structural influence of the</w:t>
      </w:r>
      <w:r>
        <w:t xml:space="preserve"> </w:t>
      </w:r>
      <w:r>
        <w:rPr>
          <w:bCs/>
          <w:b/>
        </w:rPr>
        <w:t xml:space="preserve">politician</w:t>
      </w:r>
      <w:r>
        <w:t xml:space="preserve"> </w:t>
      </w:r>
      <w:r>
        <w:t xml:space="preserve">within the specific geographical and sociopolitical context of</w:t>
      </w:r>
      <w:r>
        <w:t xml:space="preserve"> </w:t>
      </w:r>
      <w:r>
        <w:rPr>
          <w:bCs/>
          <w:b/>
        </w:rPr>
        <w:t xml:space="preserve">Turkey Ankara</w:t>
      </w:r>
      <w:r>
        <w:t xml:space="preserve">. As the capital city, Ankara functions not merely as an administrative center but as a distinct laboratory for observing political dynamics that differ significantly from other major Turkish metropolises like Istanbul or Izmir. The objective of this study is to dissect how the archetype of the politician operates amidst Turkey's complex democratic framework, analyzing their interactions with civic institutions, media landscapes, and public sentiment. The findings suggest that politicians in Ankara operate under a unique set of pressures defined by proximity to state power, requiring a nuanced understanding of both bureaucratic mechanisms and electoral strategies.</w:t>
      </w:r>
    </w:p>
    <w:bookmarkEnd w:id="20"/>
    <w:bookmarkStart w:id="21" w:name="introduction"/>
    <w:p>
      <w:pPr>
        <w:pStyle w:val="Heading2"/>
      </w:pPr>
      <w:r>
        <w:t xml:space="preserve">2. Introduction</w:t>
      </w:r>
    </w:p>
    <w:p>
      <w:pPr>
        <w:pStyle w:val="FirstParagraph"/>
      </w:pPr>
      <w:r>
        <w:t xml:space="preserve">The</w:t>
      </w:r>
      <w:r>
        <w:t xml:space="preserve"> </w:t>
      </w:r>
      <w:r>
        <w:rPr>
          <w:bCs/>
          <w:b/>
        </w:rPr>
        <w:t xml:space="preserve">Turkey Ankara</w:t>
      </w:r>
      <w:r>
        <w:t xml:space="preserve"> </w:t>
      </w:r>
      <w:r>
        <w:t xml:space="preserve">region is characterized by its distinct demographic composition, which includes a high concentration of civil servants, military personnel (historically), students from universities across the country, and a growing business elite. This mix creates a volatile yet stable political environment where the</w:t>
      </w:r>
      <w:r>
        <w:t xml:space="preserve"> </w:t>
      </w:r>
      <w:r>
        <w:rPr>
          <w:bCs/>
          <w:b/>
        </w:rPr>
        <w:t xml:space="preserve">politician</w:t>
      </w:r>
      <w:r>
        <w:t xml:space="preserve"> </w:t>
      </w:r>
      <w:r>
        <w:t xml:space="preserve">must navigate between traditional conservative values and modern secular aspirations. In this laboratory setting, we observe that the politician is no longer just a representative but an active participant in managing public perception through digital media and grassroots organizing.</w:t>
      </w:r>
    </w:p>
    <w:bookmarkEnd w:id="21"/>
    <w:bookmarkStart w:id="22" w:name="methodology"/>
    <w:p>
      <w:pPr>
        <w:pStyle w:val="Heading2"/>
      </w:pPr>
      <w:r>
        <w:t xml:space="preserve">3. Methodology</w:t>
      </w:r>
    </w:p>
    <w:p>
      <w:pPr>
        <w:pStyle w:val="FirstParagraph"/>
      </w:pPr>
      <w:r>
        <w:t xml:space="preserve">To ensure an accurate representation of the political climate in</w:t>
      </w:r>
      <w:r>
        <w:t xml:space="preserve"> </w:t>
      </w:r>
      <w:r>
        <w:rPr>
          <w:bCs/>
          <w:b/>
        </w:rPr>
        <w:t xml:space="preserve">Turkey Ankara</w:t>
      </w:r>
      <w:r>
        <w:t xml:space="preserve">, this report utilizes a mixed-methods approach:</w:t>
      </w:r>
    </w:p>
    <w:p>
      <w:pPr>
        <w:numPr>
          <w:ilvl w:val="0"/>
          <w:numId w:val="1001"/>
        </w:numPr>
        <w:pStyle w:val="Compact"/>
      </w:pPr>
      <w:r>
        <w:rPr>
          <w:bCs/>
          <w:b/>
        </w:rPr>
        <w:t xml:space="preserve">Semi-Structured Interviews:</w:t>
      </w:r>
      <w:r>
        <w:t xml:space="preserve"> </w:t>
      </w:r>
      <w:r>
        <w:t xml:space="preserve">Conducted with 15 local politicians ranging from municipal council members to national parliamentarians representing various constituencies within the city.</w:t>
      </w:r>
    </w:p>
    <w:p>
      <w:pPr>
        <w:numPr>
          <w:ilvl w:val="0"/>
          <w:numId w:val="1001"/>
        </w:numPr>
        <w:pStyle w:val="Compact"/>
      </w:pPr>
      <w:r>
        <w:rPr>
          <w:bCs/>
          <w:b/>
        </w:rPr>
        <w:t xml:space="preserve">Observational Study:</w:t>
      </w:r>
      <w:r>
        <w:t xml:space="preserve"> </w:t>
      </w:r>
      <w:r>
        <w:t xml:space="preserve">Direct observation of town hall meetings and public forums in key districts such as Çankaya, Keçiören, and Yenimahalle.</w:t>
      </w:r>
    </w:p>
    <w:p>
      <w:pPr>
        <w:numPr>
          <w:ilvl w:val="0"/>
          <w:numId w:val="1001"/>
        </w:numPr>
        <w:pStyle w:val="Compact"/>
      </w:pPr>
      <w:r>
        <w:rPr>
          <w:bCs/>
          <w:b/>
        </w:rPr>
        <w:t xml:space="preserve">Digital Analysis:</w:t>
      </w:r>
      <w:r>
        <w:t xml:space="preserve"> </w:t>
      </w:r>
      <w:r>
        <w:t xml:space="preserve">A review of social media engagement metrics for prominent political figures to determine how they communicate with the electorate outside traditional channels.</w:t>
      </w:r>
    </w:p>
    <w:bookmarkEnd w:id="22"/>
    <w:bookmarkStart w:id="26" w:name="Xcbefba9e5feb0850243dbf9b61cc63f24ab9d57"/>
    <w:p>
      <w:pPr>
        <w:pStyle w:val="Heading2"/>
      </w:pPr>
      <w:r>
        <w:t xml:space="preserve">4. Observational Data: The Anatomy of the Politician in Ankara</w:t>
      </w:r>
    </w:p>
    <w:bookmarkStart w:id="23" w:name="X66433abc13f6d0d48e57eafa4b8c8305774ae53"/>
    <w:p>
      <w:pPr>
        <w:pStyle w:val="Heading3"/>
      </w:pPr>
      <w:r>
        <w:t xml:space="preserve">4.1 Proximity to Power and Bureaucratic Integration</w:t>
      </w:r>
    </w:p>
    <w:p>
      <w:pPr>
        <w:pStyle w:val="FirstParagraph"/>
      </w:pPr>
      <w:r>
        <w:t xml:space="preserve">In</w:t>
      </w:r>
      <w:r>
        <w:t xml:space="preserve"> </w:t>
      </w:r>
      <w:r>
        <w:rPr>
          <w:bCs/>
          <w:b/>
        </w:rPr>
        <w:t xml:space="preserve">Turkey Ankara</w:t>
      </w:r>
      <w:r>
        <w:t xml:space="preserve">, the line between state administration and political leadership is often blurred more than in other regions. Our observations indicate that the successful</w:t>
      </w:r>
      <w:r>
        <w:t xml:space="preserve"> </w:t>
      </w:r>
      <w:r>
        <w:rPr>
          <w:bCs/>
          <w:b/>
        </w:rPr>
        <w:t xml:space="preserve">politician</w:t>
      </w:r>
      <w:r>
        <w:t xml:space="preserve"> </w:t>
      </w:r>
      <w:r>
        <w:t xml:space="preserve">here must possess a high degree of bureaucratic literacy. Unlike local politicians in peripheral regions who may focus solely on municipal services, politicians in Ankara are deeply involved in national policy implementation. Data collected from interviews reveals that 80% of subjects spend more than half their working hours engaging with central government ministries rather than constituent issues within specific neighborhoods.</w:t>
      </w:r>
    </w:p>
    <w:bookmarkEnd w:id="23"/>
    <w:bookmarkStart w:id="24" w:name="X80aa7bf0e3fd7f116a76678282729faafa6ff75"/>
    <w:p>
      <w:pPr>
        <w:pStyle w:val="Heading3"/>
      </w:pPr>
      <w:r>
        <w:t xml:space="preserve">4.2 The Impact of Urbanization on Political Discourse</w:t>
      </w:r>
    </w:p>
    <w:p>
      <w:pPr>
        <w:pStyle w:val="FirstParagraph"/>
      </w:pPr>
      <w:r>
        <w:t xml:space="preserve">Ankara has undergone significant urban transformation over the past two decades. This physical change has directly influenced the role of the</w:t>
      </w:r>
      <w:r>
        <w:t xml:space="preserve"> </w:t>
      </w:r>
      <w:r>
        <w:rPr>
          <w:bCs/>
          <w:b/>
        </w:rPr>
        <w:t xml:space="preserve">politician</w:t>
      </w:r>
      <w:r>
        <w:t xml:space="preserve">. We observed a shift in political discourse from ideological debates to service-oriented promises regarding transportation, housing, and infrastructure. In districts with high immigrant populations or dense urban living conditions (gecekondu areas turned into modern apartments), the politician’s primary function is mediation between state development projects and community resistance.</w:t>
      </w:r>
    </w:p>
    <w:bookmarkEnd w:id="24"/>
    <w:bookmarkStart w:id="25" w:name="digital-presence-as-a-political-tool"/>
    <w:p>
      <w:pPr>
        <w:pStyle w:val="Heading3"/>
      </w:pPr>
      <w:r>
        <w:t xml:space="preserve">4.3 Digital Presence as a Political Tool</w:t>
      </w:r>
    </w:p>
    <w:p>
      <w:pPr>
        <w:pStyle w:val="FirstParagraph"/>
      </w:pPr>
      <w:r>
        <w:t xml:space="preserve">The data indicates that political figures in</w:t>
      </w:r>
      <w:r>
        <w:t xml:space="preserve"> </w:t>
      </w:r>
      <w:r>
        <w:rPr>
          <w:bCs/>
          <w:b/>
        </w:rPr>
        <w:t xml:space="preserve">Turkey Ankara</w:t>
      </w:r>
      <w:r>
        <w:t xml:space="preserve"> </w:t>
      </w:r>
      <w:r>
        <w:t xml:space="preserve">rely heavily on digital platforms to bypass traditional media filters. Analysis shows that the average politician now dedicates 15 hours per week to content creation and social media management. This "digital campaigning" is not limited to election periods but is a year-round necessity. The ability of a</w:t>
      </w:r>
      <w:r>
        <w:t xml:space="preserve"> </w:t>
      </w:r>
      <w:r>
        <w:rPr>
          <w:bCs/>
          <w:b/>
        </w:rPr>
        <w:t xml:space="preserve">politician</w:t>
      </w:r>
      <w:r>
        <w:t xml:space="preserve"> </w:t>
      </w:r>
      <w:r>
        <w:t xml:space="preserve">to control their narrative on platforms like Twitter (X) and Instagram has become as important as their parliamentary voting record.</w:t>
      </w:r>
    </w:p>
    <w:bookmarkEnd w:id="25"/>
    <w:bookmarkEnd w:id="26"/>
    <w:bookmarkStart w:id="28" w:name="Xb4b6206fe77c0ce401c02f2b24e98bae07b4ed5"/>
    <w:p>
      <w:pPr>
        <w:pStyle w:val="Heading2"/>
      </w:pPr>
      <w:r>
        <w:t xml:space="preserve">5. Case Studies: Divergent Political Archetypes</w:t>
      </w:r>
    </w:p>
    <w:p>
      <w:pPr>
        <w:pStyle w:val="FirstParagraph"/>
      </w:pPr>
      <w:r>
        <w:t xml:space="preserve">To further illustrate the diversity within the political landscape of</w:t>
      </w:r>
      <w:r>
        <w:t xml:space="preserve"> </w:t>
      </w:r>
      <w:r>
        <w:rPr>
          <w:bCs/>
          <w:b/>
        </w:rPr>
        <w:t xml:space="preserve">Turkey Ankara</w:t>
      </w:r>
      <w:r>
        <w:t xml:space="preserve">, we present two contrasting archetypes observed during this study:</w:t>
      </w:r>
    </w:p>
    <w:tbl>
      <w:tblPr>
        <w:tblStyle w:val="Table"/>
        <w:tblW w:type="pct" w:w="5000"/>
        <w:tblLook w:firstRow="0" w:lastRow="0" w:firstColumn="0" w:lastColumn="0" w:noHBand="0" w:noVBand="0" w:val="0000"/>
      </w:tblPr>
      <w:tblGrid>
        <w:gridCol w:w="2640"/>
        <w:gridCol w:w="2640"/>
        <w:gridCol w:w="2640"/>
      </w:tblGrid>
      <w:tr>
        <w:tc>
          <w:tcPr/>
          <w:p>
            <w:pPr>
              <w:pStyle w:val="Compact"/>
              <w:jc w:val="left"/>
            </w:pPr>
            <w:r>
              <w:rPr>
                <w:bCs/>
                <w:b/>
              </w:rPr>
              <w:t xml:space="preserve">A.</w:t>
            </w:r>
          </w:p>
        </w:tc>
        <w:tc>
          <w:tcPr/>
          <w:p>
            <w:pPr>
              <w:pStyle w:val="Compact"/>
              <w:jc w:val="left"/>
            </w:pPr>
            <w:r>
              <w:rPr>
                <w:bCs/>
                <w:b/>
              </w:rPr>
              <w:t xml:space="preserve">The Technocratic Reformer</w:t>
            </w:r>
          </w:p>
        </w:tc>
        <w:tc>
          <w:tcPr/>
          <w:p>
            <w:pPr>
              <w:pStyle w:val="Compact"/>
            </w:pPr>
          </w:p>
        </w:tc>
      </w:tr>
      <w:tr>
        <w:tc>
          <w:tcPr/>
          <w:p>
            <w:pPr>
              <w:pStyle w:val="Compact"/>
              <w:jc w:val="left"/>
            </w:pPr>
            <w:r>
              <w:t xml:space="preserve">B.</w:t>
            </w:r>
          </w:p>
        </w:tc>
        <w:tc>
          <w:tcPr/>
          <w:p>
            <w:pPr>
              <w:pStyle w:val="Compact"/>
              <w:jc w:val="left"/>
            </w:pPr>
            <w:r>
              <w:rPr>
                <w:bCs/>
                <w:b/>
              </w:rPr>
              <w:t xml:space="preserve">The Ideological Mobilizer</w:t>
            </w:r>
          </w:p>
        </w:tc>
        <w:tc>
          <w:tcPr/>
          <w:p>
            <w:pPr>
              <w:pStyle w:val="Compact"/>
            </w:pPr>
          </w:p>
        </w:tc>
      </w:tr>
      <w:tr>
        <w:tc>
          <w:tcPr/>
          <w:p>
            <w:pPr>
              <w:pStyle w:val="Heading4"/>
              <w:jc w:val="left"/>
            </w:pPr>
            <w:bookmarkStart w:id="27" w:name="detailed-comparison"/>
            <w:r>
              <w:t xml:space="preserve">Detailed Comparison</w:t>
            </w:r>
            <w:bookmarkEnd w:id="27"/>
          </w:p>
        </w:tc>
        <w:tc>
          <w:tcPr/>
          <w:p>
            <w:pPr>
              <w:pStyle w:val="Compact"/>
            </w:pPr>
          </w:p>
        </w:tc>
        <w:tc>
          <w:tcPr/>
          <w:p>
            <w:pPr>
              <w:pStyle w:val="Compact"/>
            </w:pPr>
          </w:p>
        </w:tc>
      </w:tr>
      <w:tr>
        <w:tc>
          <w:tcPr/>
          <w:p>
            <w:pPr>
              <w:pStyle w:val="Compact"/>
              <w:jc w:val="left"/>
            </w:pPr>
            <w:r>
              <w:t xml:space="preserve">A.1:</w:t>
            </w:r>
          </w:p>
        </w:tc>
        <w:tc>
          <w:tcPr/>
          <w:p>
            <w:pPr>
              <w:pStyle w:val="Compact"/>
              <w:jc w:val="left"/>
            </w:pPr>
            <w:r>
              <w:t xml:space="preserve">Prioritizes urban planning efficiency and data-driven policy making.</w:t>
            </w:r>
          </w:p>
        </w:tc>
        <w:tc>
          <w:tcPr/>
          <w:p>
            <w:pPr>
              <w:pStyle w:val="Compact"/>
              <w:jc w:val="left"/>
            </w:pPr>
            <w:r>
              <w:t xml:space="preserve">Focusing on religious and cultural identity markers.</w:t>
            </w:r>
          </w:p>
        </w:tc>
      </w:tr>
      <w:tr>
        <w:tc>
          <w:tcPr/>
          <w:p>
            <w:pPr>
              <w:pStyle w:val="Compact"/>
              <w:jc w:val="left"/>
            </w:pPr>
            <w:r>
              <w:t xml:space="preserve">A.2:Tone is calm, professional, and often appeals to secular or middle-class voters in Çankaya.</w:t>
            </w:r>
          </w:p>
        </w:tc>
        <w:tc>
          <w:tcPr/>
          <w:p>
            <w:pPr>
              <w:pStyle w:val="Compact"/>
              <w:jc w:val="left"/>
            </w:pPr>
            <w:r>
              <w:t xml:space="preserve">Tone is passionate, emotive, and appeals to conservative bases in Keçiören.</w:t>
            </w:r>
          </w:p>
        </w:tc>
        <w:tc>
          <w:tcPr/>
          <w:p>
            <w:pPr>
              <w:pStyle w:val="Compact"/>
            </w:pPr>
          </w:p>
        </w:tc>
      </w:tr>
      <w:tr>
        <w:tc>
          <w:tcPr/>
          <w:p>
            <w:pPr>
              <w:pStyle w:val="Compact"/>
              <w:jc w:val="left"/>
            </w:pPr>
            <w:r>
              <w:t xml:space="preserve">A.3:Uses academic credentials as primary legitimacy source.Tone relies on historical narratives and nationalistic rhetoric.</w:t>
            </w:r>
          </w:p>
        </w:tc>
        <w:tc>
          <w:tcPr/>
          <w:p>
            <w:pPr>
              <w:pStyle w:val="Compact"/>
            </w:pPr>
          </w:p>
        </w:tc>
        <w:tc>
          <w:tcPr/>
          <w:p>
            <w:pPr>
              <w:pStyle w:val="Compact"/>
            </w:pPr>
          </w:p>
        </w:tc>
      </w:tr>
    </w:tbl>
    <w:p>
      <w:pPr>
        <w:pStyle w:val="BodyText"/>
      </w:pPr>
      <w:r>
        <w:t xml:space="preserve">This table highlights the polarization inherent in</w:t>
      </w:r>
      <w:r>
        <w:t xml:space="preserve"> </w:t>
      </w:r>
      <w:r>
        <w:rPr>
          <w:bCs/>
          <w:b/>
        </w:rPr>
        <w:t xml:space="preserve">Turkey Ankara</w:t>
      </w:r>
      <w:r>
        <w:t xml:space="preserve">. The</w:t>
      </w:r>
      <w:r>
        <w:t xml:space="preserve"> </w:t>
      </w:r>
      <w:r>
        <w:rPr>
          <w:bCs/>
          <w:b/>
        </w:rPr>
        <w:t xml:space="preserve">politician</w:t>
      </w:r>
      <w:r>
        <w:t xml:space="preserve"> </w:t>
      </w:r>
      <w:r>
        <w:t xml:space="preserve">must choose a lane, yet often attempts to bridge these divides, leading to complex internal conflicts regarding their political identity.</w:t>
      </w:r>
    </w:p>
    <w:bookmarkEnd w:id="28"/>
    <w:bookmarkStart w:id="29" w:name="challenges-and-ethical-considerations"/>
    <w:p>
      <w:pPr>
        <w:pStyle w:val="Heading2"/>
      </w:pPr>
      <w:r>
        <w:t xml:space="preserve">6. Challenges and Ethical Considerations</w:t>
      </w:r>
    </w:p>
    <w:p>
      <w:pPr>
        <w:pStyle w:val="FirstParagraph"/>
      </w:pPr>
      <w:r>
        <w:t xml:space="preserve">The environment in</w:t>
      </w:r>
      <w:r>
        <w:t xml:space="preserve"> </w:t>
      </w:r>
      <w:r>
        <w:rPr>
          <w:bCs/>
          <w:b/>
        </w:rPr>
        <w:t xml:space="preserve">Turkey Ankara</w:t>
      </w:r>
      <w:r>
        <w:t xml:space="preserve"> </w:t>
      </w:r>
      <w:r>
        <w:t xml:space="preserve">presents unique ethical challenges for the</w:t>
      </w:r>
      <w:r>
        <w:t xml:space="preserve"> </w:t>
      </w:r>
      <w:r>
        <w:rPr>
          <w:bCs/>
          <w:b/>
        </w:rPr>
        <w:t xml:space="preserve">politician</w:t>
      </w:r>
      <w:r>
        <w:t xml:space="preserve">. The concentration of power means that decisions made have immediate national repercussions. We observed instances where political promises were made with limited feasibility due to bureaucratic bottlenecks. Furthermore, the pressure from party hierarchies often limits the autonomy of individual politicians. Ethical concerns regarding campaign financing and media bias were noted as significant factors influencing how politicians present themselves.</w:t>
      </w:r>
    </w:p>
    <w:bookmarkEnd w:id="29"/>
    <w:bookmarkStart w:id="30" w:name="conclusion"/>
    <w:p>
      <w:pPr>
        <w:pStyle w:val="Heading2"/>
      </w:pPr>
      <w:r>
        <w:t xml:space="preserve">7. Conclusion</w:t>
      </w:r>
    </w:p>
    <w:p>
      <w:pPr>
        <w:pStyle w:val="FirstParagraph"/>
      </w:pPr>
      <w:r>
        <w:t xml:space="preserve">This lab report concludes that the</w:t>
      </w:r>
      <w:r>
        <w:t xml:space="preserve"> </w:t>
      </w:r>
      <w:r>
        <w:rPr>
          <w:bCs/>
          <w:b/>
        </w:rPr>
        <w:t xml:space="preserve">politician</w:t>
      </w:r>
      <w:r>
        <w:t xml:space="preserve"> </w:t>
      </w:r>
      <w:r>
        <w:t xml:space="preserve">in</w:t>
      </w:r>
      <w:r>
        <w:t xml:space="preserve"> </w:t>
      </w:r>
      <w:r>
        <w:rPr>
          <w:bCs/>
          <w:b/>
        </w:rPr>
        <w:t xml:space="preserve">Turkey Ankara</w:t>
      </w:r>
      <w:r>
        <w:t xml:space="preserve"> </w:t>
      </w:r>
      <w:r>
        <w:t xml:space="preserve">is a complex hybrid figure, part administrator, part communicator, and part ideologue. The capital city serves as a microcosm of Turkey’s broader political struggles, requiring its representatives to be highly adaptable. Future studies should focus on the long-term impact of digitalization on democratic participation in this region. It is evident that for any</w:t>
      </w:r>
      <w:r>
        <w:t xml:space="preserve"> </w:t>
      </w:r>
      <w:r>
        <w:rPr>
          <w:bCs/>
          <w:b/>
        </w:rPr>
        <w:t xml:space="preserve">politician</w:t>
      </w:r>
      <w:r>
        <w:t xml:space="preserve"> </w:t>
      </w:r>
      <w:r>
        <w:t xml:space="preserve">seeking success in</w:t>
      </w:r>
      <w:r>
        <w:t xml:space="preserve"> </w:t>
      </w:r>
      <w:r>
        <w:rPr>
          <w:bCs/>
          <w:b/>
        </w:rPr>
        <w:t xml:space="preserve">Turkey Ankara</w:t>
      </w:r>
      <w:r>
        <w:t xml:space="preserve">, understanding the intricate interplay between state bureaucracy, urban demographics, and digital public opinion is not optional—it is fundamental.</w:t>
      </w:r>
    </w:p>
    <w:bookmarkEnd w:id="30"/>
    <w:bookmarkStart w:id="31" w:name="references-and-further-reading"/>
    <w:p>
      <w:pPr>
        <w:pStyle w:val="Heading2"/>
      </w:pPr>
      <w:r>
        <w:t xml:space="preserve">8. References and Further Reading</w:t>
      </w:r>
    </w:p>
    <w:p>
      <w:pPr>
        <w:numPr>
          <w:ilvl w:val="0"/>
          <w:numId w:val="1002"/>
        </w:numPr>
        <w:pStyle w:val="Compact"/>
      </w:pPr>
      <w:r>
        <w:t xml:space="preserve">Ankara Metropolitan Municipality Annual Reports (2019-2023).</w:t>
      </w:r>
    </w:p>
    <w:p>
      <w:pPr>
        <w:numPr>
          <w:ilvl w:val="0"/>
          <w:numId w:val="1002"/>
        </w:numPr>
        <w:pStyle w:val="Compact"/>
      </w:pPr>
      <w:r>
        <w:t xml:space="preserve">Turkish Statistical Institute (TÜİK) Demographic Data on Ankara Province.</w:t>
      </w:r>
    </w:p>
    <w:p>
      <w:pPr>
        <w:numPr>
          <w:ilvl w:val="0"/>
          <w:numId w:val="1002"/>
        </w:numPr>
        <w:pStyle w:val="Compact"/>
      </w:pPr>
      <w:r>
        <w:t xml:space="preserve">Journals of Turkish Political Science Association: Case Studies in Capital City Governance.</w:t>
      </w:r>
    </w:p>
    <w:p>
      <w:pPr>
        <w:pStyle w:val="FirstParagraph"/>
      </w:pPr>
      <w:r>
        <w:rPr>
          <w:iCs/>
          <w:i/>
        </w:rPr>
        <w:t xml:space="preserve">Note: This document is a fictionalized lab report for educational and analytical purposes regarding political structures in Ankara, Turkey. All names and specific anecdotes have been generalized for illustrative clarity.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Political Dynamics in Ankara, Turkey</dc:title>
  <dc:creator/>
  <dc:language>en</dc:language>
  <cp:keywords/>
  <dcterms:created xsi:type="dcterms:W3CDTF">2026-07-29T04:09:03Z</dcterms:created>
  <dcterms:modified xsi:type="dcterms:W3CDTF">2026-07-29T04:09:03Z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