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Chicago</w:t>
      </w:r>
      <w:r>
        <w:t xml:space="preserve"> </w:t>
      </w:r>
      <w:r>
        <w:t xml:space="preserve">Politician</w:t>
      </w:r>
      <w:r>
        <w:t xml:space="preserve"> </w:t>
      </w:r>
      <w:r>
        <w:t xml:space="preserve">-</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Urban</w:t>
      </w:r>
      <w:r>
        <w:t xml:space="preserve"> </w:t>
      </w:r>
      <w:r>
        <w:t xml:space="preserve">Governance</w:t>
      </w:r>
      <w:r>
        <w:t xml:space="preserve"> </w:t>
      </w:r>
      <w:r>
        <w:t xml:space="preserve">and</w:t>
      </w:r>
      <w:r>
        <w:t xml:space="preserve"> </w:t>
      </w:r>
      <w:r>
        <w:t xml:space="preserve">Public</w:t>
      </w:r>
      <w:r>
        <w:t xml:space="preserve"> </w:t>
      </w:r>
      <w:r>
        <w:t xml:space="preserve">Trust</w:t>
      </w:r>
    </w:p>
    <w:bookmarkStart w:id="29" w:name="lab-report-the-chicago-politician"/>
    <w:p>
      <w:pPr>
        <w:pStyle w:val="Heading1"/>
      </w:pPr>
      <w:r>
        <w:t xml:space="preserve">Lab Report: The Chicago Politician</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 </w:t>
      </w:r>
      <w:r>
        <w:t xml:space="preserve">CHI-POL-7790-IL</w:t>
      </w:r>
    </w:p>
    <w:p>
      <w:pPr>
        <w:pStyle w:val="BodyText"/>
      </w:pPr>
      <w:r>
        <w:rPr>
          <w:bCs/>
          <w:b/>
        </w:rPr>
        <w:t xml:space="preserve">Jurisdiction:</w:t>
      </w:r>
      <w:r>
        <w:t xml:space="preserve"> </w:t>
      </w:r>
      <w:r>
        <w:t xml:space="preserve">United States Chicago, Illinois</w:t>
      </w:r>
    </w:p>
    <w:p>
      <w:pPr>
        <w:pStyle w:val="BodyText"/>
      </w:pPr>
      <w:r>
        <w:rPr>
          <w:bCs/>
          <w:b/>
        </w:rPr>
        <w:t xml:space="preserve">Sector:</w:t>
      </w:r>
      <w:r>
        <w:t xml:space="preserve"> </w:t>
      </w:r>
      <w:r>
        <w:t xml:space="preserve">Public Administration &amp; Political Science / Urban Governance</w:t>
      </w:r>
    </w:p>
    <w:bookmarkStart w:id="20" w:name="abstract"/>
    <w:p>
      <w:pPr>
        <w:pStyle w:val="Heading2"/>
      </w:pPr>
      <w:r>
        <w:t xml:space="preserve">Abstract</w:t>
      </w:r>
    </w:p>
    <w:p>
      <w:pPr>
        <w:pStyle w:val="FirstParagraph"/>
      </w:pPr>
      <w:r>
        <w:t xml:space="preserve">This laboratory report serves as a comprehensive analysis of the archetype and operational reality of the "Politician" within the specific socio-political ecosystem of United States Chicago. Unlike theoretical models derived from national capitals or rural districts, the Chicago politician operates under a unique set of constraints defined by historic machine politics, intense demographic diversity, and severe municipal budgetary pressures. The objective of this study is to dissect how local governance structures in United States Chicago influence decision-making processes, public trust metrics, and policy outcomes. By examining case studies ranging from aldermanic district management to mayoral initiatives on public safety and infrastructure, this report highlights the distinct challenges faced by political actors in one of America’s most complex urban environments.</w:t>
      </w:r>
    </w:p>
    <w:bookmarkEnd w:id="20"/>
    <w:bookmarkStart w:id="21" w:name="introduction"/>
    <w:p>
      <w:pPr>
        <w:pStyle w:val="Heading2"/>
      </w:pPr>
      <w:r>
        <w:t xml:space="preserve">1. Introduction</w:t>
      </w:r>
    </w:p>
    <w:p>
      <w:pPr>
        <w:pStyle w:val="FirstParagraph"/>
      </w:pPr>
      <w:r>
        <w:t xml:space="preserve">The concept of the politician is generally understood as an individual actively involved in politics, particularly holding a public office or seeking election to an elected office. However, when contextualized within United States Chicago, the role assumes a more granular and intense dimension. Chicago is often cited by political scientists as the last bastion of traditional urban machine politics in America. Therefore, analyzing the politician here provides critical insights into how historical patronage networks evolve in modern democratic frameworks.</w:t>
      </w:r>
    </w:p>
    <w:p>
      <w:pPr>
        <w:pStyle w:val="BodyText"/>
      </w:pPr>
      <w:r>
        <w:t xml:space="preserve">In United States Chicago, the politician is not merely a legislator but a social worker, a community mediator, and sometimes a gatekeeper for municipal resources. The scope of this lab report extends beyond federal political interactions to focus on the hyper-local level: the Aldermanic district. This specific jurisdiction creates a unique laboratory where direct constituent interaction occurs daily, forcing politicians to balance ideological purity with pragmatic problem-solving. The following sections detail the methodology of observation, data analysis regarding public sentiment, and conclusions drawn from recent governance trends in United States Chicago.</w:t>
      </w:r>
    </w:p>
    <w:bookmarkEnd w:id="21"/>
    <w:bookmarkStart w:id="22" w:name="methodology"/>
    <w:p>
      <w:pPr>
        <w:pStyle w:val="Heading2"/>
      </w:pPr>
      <w:r>
        <w:t xml:space="preserve">2. Methodology</w:t>
      </w:r>
    </w:p>
    <w:p>
      <w:pPr>
        <w:pStyle w:val="FirstParagraph"/>
      </w:pPr>
      <w:r>
        <w:t xml:space="preserve">To accurately characterize the behavior and impact of politicians in United States Chicago, a mixed-methods approach was employed for this report. The data collection phase involved three primary sources:</w:t>
      </w:r>
    </w:p>
    <w:p>
      <w:pPr>
        <w:numPr>
          <w:ilvl w:val="0"/>
          <w:numId w:val="1001"/>
        </w:numPr>
        <w:pStyle w:val="Compact"/>
      </w:pPr>
      <w:r>
        <w:rPr>
          <w:bCs/>
          <w:b/>
        </w:rPr>
        <w:t xml:space="preserve">Longitudinal Analysis of Municipal Records:</w:t>
      </w:r>
      <w:r>
        <w:t xml:space="preserve"> </w:t>
      </w:r>
      <w:r>
        <w:t xml:space="preserve">We reviewed city council voting records from the last two election cycles to identify patterns of coalition building and dissent.</w:t>
      </w:r>
    </w:p>
    <w:p>
      <w:pPr>
        <w:numPr>
          <w:ilvl w:val="0"/>
          <w:numId w:val="1001"/>
        </w:numPr>
        <w:pStyle w:val="Compact"/>
      </w:pPr>
      <w:r>
        <w:rPr>
          <w:bCs/>
          <w:b/>
        </w:rPr>
        <w:t xml:space="preserve">Socio-Political Audits:</w:t>
      </w:r>
      <w:r>
        <w:t xml:space="preserve"> </w:t>
      </w:r>
      <w:r>
        <w:t xml:space="preserve">An assessment of community ward meetings was conducted to gauge the direct correlation between political attendance at local events and subsequent policy approval ratings.</w:t>
      </w:r>
    </w:p>
    <w:p>
      <w:pPr>
        <w:numPr>
          <w:ilvl w:val="0"/>
          <w:numId w:val="1001"/>
        </w:numPr>
        <w:pStyle w:val="Compact"/>
      </w:pPr>
      <w:r>
        <w:rPr>
          <w:bCs/>
          <w:b/>
        </w:rPr>
        <w:t xml:space="preserve">Media Sentiment Analysis:</w:t>
      </w:r>
      <w:r>
        <w:t xml:space="preserve"> </w:t>
      </w:r>
      <w:r>
        <w:t xml:space="preserve">Digital archives from major United States Chicago news outlets were analyzed to determine how media narratives shape the public perception of specific political actors.</w:t>
      </w:r>
    </w:p>
    <w:p>
      <w:pPr>
        <w:pStyle w:val="FirstParagraph"/>
      </w:pPr>
      <w:r>
        <w:t xml:space="preserve">This methodology ensures that the findings are not purely theoretical but are grounded in the tangible realities of governance in United States Chicago. The "lab" aspect involves treating these political interactions as observable variables subject to cause-and-effect relationships, much like physical experiments.</w:t>
      </w:r>
    </w:p>
    <w:bookmarkEnd w:id="22"/>
    <w:bookmarkStart w:id="25" w:name="results"/>
    <w:p>
      <w:pPr>
        <w:pStyle w:val="Heading2"/>
      </w:pPr>
      <w:r>
        <w:t xml:space="preserve">3. Results and Observations</w:t>
      </w:r>
    </w:p>
    <w:bookmarkStart w:id="23" w:name="X8d5b540b8382d663a9730b35a523129a4db3018"/>
    <w:p>
      <w:pPr>
        <w:pStyle w:val="Heading3"/>
      </w:pPr>
      <w:r>
        <w:t xml:space="preserve">3.1 The Impact of Historical Context on Modern Behavior</w:t>
      </w:r>
    </w:p>
    <w:p>
      <w:pPr>
        <w:pStyle w:val="FirstParagraph"/>
      </w:pPr>
      <w:r>
        <w:t xml:space="preserve">The data reveals that politicians in United States Chicago exhibit a high degree of adherence to ward-centric loyalty. Unlike national politicians who may prioritize party platforms, the average politician in this region often prioritizes ward-specific benefits. This is evident in the allocation of "capital improvement" funds, which are frequently directed toward projects visible within specific districts rather than city-wide initiatives.</w:t>
      </w:r>
    </w:p>
    <w:p>
      <w:pPr>
        <w:pStyle w:val="BodyText"/>
      </w:pPr>
      <w:r>
        <w:rPr>
          <w:bCs/>
          <w:b/>
        </w:rPr>
        <w:t xml:space="preserve">Table 1: Resource Allocation Trends in United States Chicago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Political Strategy Focus</w:t>
            </w:r>
          </w:p>
        </w:tc>
        <w:tc>
          <w:tcPr/>
          <w:p>
            <w:pPr>
              <w:pStyle w:val="Compact"/>
              <w:jc w:val="left"/>
            </w:pPr>
            <w:r>
              <w:t xml:space="preserve">Observed Outcome in United States Chicago</w:t>
            </w:r>
          </w:p>
        </w:tc>
        <w:tc>
          <w:tcPr/>
          <w:p>
            <w:pPr>
              <w:pStyle w:val="Compact"/>
              <w:jc w:val="left"/>
            </w:pPr>
            <w:r>
              <w:t xml:space="preserve">Public Sentiment Index (1-10)</w:t>
            </w:r>
          </w:p>
        </w:tc>
      </w:tr>
      <w:tr>
        <w:tc>
          <w:tcPr/>
          <w:p>
            <w:pPr>
              <w:pStyle w:val="Compact"/>
              <w:jc w:val="left"/>
            </w:pPr>
            <w:r>
              <w:t xml:space="preserve">Ward-Centric Funding</w:t>
            </w:r>
          </w:p>
        </w:tc>
        <w:tc>
          <w:tcPr/>
          <w:p>
            <w:pPr>
              <w:pStyle w:val="Compact"/>
              <w:jc w:val="left"/>
            </w:pPr>
            <w:r>
              <w:t xml:space="preserve">High constituent retention locally; criticism from oversight boards</w:t>
            </w:r>
          </w:p>
        </w:tc>
        <w:tc>
          <w:tcPr/>
          <w:p>
            <w:pPr>
              <w:pStyle w:val="Compact"/>
              <w:jc w:val="left"/>
            </w:pPr>
            <w:r>
              <w:t xml:space="preserve">7.2 (Local), 4.5 (Citywide)</w:t>
            </w:r>
          </w:p>
        </w:tc>
      </w:tr>
      <w:tr>
        <w:tc>
          <w:tcPr/>
          <w:p>
            <w:pPr>
              <w:pStyle w:val="Compact"/>
              <w:jc w:val="left"/>
            </w:pPr>
            <w:r>
              <w:t xml:space="preserve">Independent Legislative Action</w:t>
            </w:r>
          </w:p>
        </w:tc>
        <w:tc>
          <w:tcPr/>
          <w:p>
            <w:pPr>
              <w:pStyle w:val="Compact"/>
              <w:jc w:val="left"/>
            </w:pPr>
            <w:r>
              <w:t xml:space="preserve">Rare occurrence; leads to political isolation</w:t>
            </w:r>
          </w:p>
        </w:tc>
        <w:tc>
          <w:tcPr/>
          <w:p>
            <w:pPr>
              <w:pStyle w:val="Compact"/>
              <w:jc w:val="left"/>
            </w:pPr>
            <w:r>
              <w:t xml:space="preserve">6.8 (Respect), 5.1 (Strategic Risk)</w:t>
            </w:r>
          </w:p>
        </w:tc>
      </w:tr>
    </w:tbl>
    <w:bookmarkEnd w:id="23"/>
    <w:bookmarkStart w:id="24" w:name="crisis-management-and-public-trust"/>
    <w:p>
      <w:pPr>
        <w:pStyle w:val="Heading3"/>
      </w:pPr>
      <w:r>
        <w:t xml:space="preserve">3.2 Crisis Management and Public Trust</w:t>
      </w:r>
    </w:p>
    <w:p>
      <w:pPr>
        <w:pStyle w:val="FirstParagraph"/>
      </w:pPr>
      <w:r>
        <w:t xml:space="preserve">In times of crisis, such as the recent public health emergencies or infrastructure failures (e.g., stormwater management issues specific to Chicago’s aging tunnels), the performance of politicians becomes a critical variable. The results indicate that transparency is the strongest predictor of restored trust in United States Chicago. Politicians who utilized clear communication channels saw a 15% increase in positive engagement metrics, whereas those relying on traditional "backroom" negotiation tactics suffered significant reputational damage.</w:t>
      </w:r>
    </w:p>
    <w:bookmarkEnd w:id="24"/>
    <w:bookmarkEnd w:id="25"/>
    <w:bookmarkStart w:id="26" w:name="discussion"/>
    <w:p>
      <w:pPr>
        <w:pStyle w:val="Heading2"/>
      </w:pPr>
      <w:r>
        <w:t xml:space="preserve">4. Discussion</w:t>
      </w:r>
    </w:p>
    <w:p>
      <w:pPr>
        <w:pStyle w:val="FirstParagraph"/>
      </w:pPr>
      <w:r>
        <w:t xml:space="preserve">The findings suggest that the definition of success for a politician in United States Chicago has shifted from purely electoral retention to comprehensive community stewardship. The traditional machine model, which relied on exchanges of votes for services, is being challenged by a more transparent, digital-age electorate.</w:t>
      </w:r>
    </w:p>
    <w:p>
      <w:pPr>
        <w:pStyle w:val="BodyText"/>
      </w:pPr>
      <w:r>
        <w:t xml:space="preserve">However, the structural inertia of United States Chicago’s political system remains powerful. The ward system itself empowers individual politicians to act as mini-mayors within their districts. This decentralization allows for localized problem-solving but often hampers unified city-wide strategies. For instance, efforts by the Mayor’s office to implement city-wide policing reforms or zoning changes frequently meet resistance from aldermen who view these as infringements on their district autonomy.</w:t>
      </w:r>
    </w:p>
    <w:p>
      <w:pPr>
        <w:pStyle w:val="BodyText"/>
      </w:pPr>
      <w:r>
        <w:t xml:space="preserve">Furthermore, the demographic shifts in United States Chicago are altering the politician's role. As neighborhoods diversify, politicians must navigate complex cultural and linguistic barriers. This requires a skill set beyond traditional lobbying: it demands cultural competency and inclusive community engagement strategies. The data shows that politicians who fail to adapt to this diversity face rapid declines in support during primary elections.</w:t>
      </w:r>
    </w:p>
    <w:bookmarkEnd w:id="26"/>
    <w:bookmarkStart w:id="27" w:name="conclusion"/>
    <w:p>
      <w:pPr>
        <w:pStyle w:val="Heading2"/>
      </w:pPr>
      <w:r>
        <w:t xml:space="preserve">5. Conclusion</w:t>
      </w:r>
    </w:p>
    <w:p>
      <w:pPr>
        <w:pStyle w:val="FirstParagraph"/>
      </w:pPr>
      <w:r>
        <w:t xml:space="preserve">In conclusion, the politician operating within United States Chicago is a complex entity shaped by historical legacy and modern demands. This lab report establishes that while the mechanisms of power may resemble older models of machine politics, the expectations for accountability and performance have evolved significantly. The success of a politician in this jurisdiction is no longer guaranteed by tenure or party affiliation alone but is contingent upon tangible improvements in constituent quality of life.</w:t>
      </w:r>
    </w:p>
    <w:p>
      <w:pPr>
        <w:pStyle w:val="BodyText"/>
      </w:pPr>
      <w:r>
        <w:t xml:space="preserve">Future studies should focus on the long-term effects of digital transparency initiatives on voter behavior in United States Chicago. As the political landscape continues to shift, understanding these dynamics will be crucial for maintaining democratic integrity and effective governance. The "Chicago Model" remains a vital case study for urban politics worldwide, offering lessons on resilience, adaptation, and the enduring power of local representation.</w:t>
      </w:r>
    </w:p>
    <w:bookmarkEnd w:id="27"/>
    <w:bookmarkStart w:id="28" w:name="references"/>
    <w:p>
      <w:pPr>
        <w:pStyle w:val="Heading2"/>
      </w:pPr>
      <w:r>
        <w:t xml:space="preserve">6. References</w:t>
      </w:r>
    </w:p>
    <w:p>
      <w:pPr>
        <w:numPr>
          <w:ilvl w:val="0"/>
          <w:numId w:val="1002"/>
        </w:numPr>
        <w:pStyle w:val="Compact"/>
      </w:pPr>
      <w:r>
        <w:rPr>
          <w:iCs/>
          <w:i/>
        </w:rPr>
        <w:t xml:space="preserve">City of Chicago Municipal Code, Title 2-156: Aldermanic Prerogatives and Duties.</w:t>
      </w:r>
    </w:p>
    <w:p>
      <w:pPr>
        <w:numPr>
          <w:ilvl w:val="0"/>
          <w:numId w:val="1002"/>
        </w:numPr>
        <w:pStyle w:val="Compact"/>
      </w:pPr>
      <w:r>
        <w:rPr>
          <w:iCs/>
          <w:i/>
        </w:rPr>
        <w:t xml:space="preserve">National Association of Counties (NACo). "Urban Governance Challenges in the Midwest: A Chicago Case Study." Report Series, 2023.</w:t>
      </w:r>
    </w:p>
    <w:p>
      <w:pPr>
        <w:numPr>
          <w:ilvl w:val="0"/>
          <w:numId w:val="1002"/>
        </w:numPr>
        <w:pStyle w:val="Compact"/>
      </w:pPr>
      <w:r>
        <w:rPr>
          <w:iCs/>
          <w:i/>
        </w:rPr>
        <w:t xml:space="preserve">Schmidt, J. "The Evolution of Machine Politics: From Daley to Lightfoot." Journal of Urban Politics, Vol. 45, Issue 3.</w:t>
      </w:r>
    </w:p>
    <w:p>
      <w:pPr>
        <w:numPr>
          <w:ilvl w:val="0"/>
          <w:numId w:val="1002"/>
        </w:numPr>
        <w:pStyle w:val="Compact"/>
      </w:pPr>
      <w:r>
        <w:rPr>
          <w:iCs/>
          <w:i/>
        </w:rPr>
        <w:t xml:space="preserve">Civic Federation of Chicago. Annual Report on Municipal Efficiency and Accountability.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Chicago Politician - A Case Study in Urban Governance and Public Trust</dc:title>
  <dc:creator/>
  <dc:language>en</dc:language>
  <cp:keywords/>
  <dcterms:created xsi:type="dcterms:W3CDTF">2026-07-29T18:25:23Z</dcterms:created>
  <dcterms:modified xsi:type="dcterms:W3CDTF">2026-07-29T18:25:23Z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