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Leadership</w:t>
      </w:r>
      <w:r>
        <w:t xml:space="preserve"> </w:t>
      </w:r>
      <w:r>
        <w:t xml:space="preserve">and</w:t>
      </w:r>
      <w:r>
        <w:t xml:space="preserve"> </w:t>
      </w:r>
      <w:r>
        <w:t xml:space="preserve">Research</w:t>
      </w:r>
      <w:r>
        <w:t xml:space="preserve"> </w:t>
      </w:r>
      <w:r>
        <w:t xml:space="preserve">Excellence</w:t>
      </w:r>
      <w:r>
        <w:t xml:space="preserve"> </w:t>
      </w:r>
      <w:r>
        <w:t xml:space="preserve">Lab</w:t>
      </w:r>
      <w:r>
        <w:t xml:space="preserve"> </w:t>
      </w:r>
      <w:r>
        <w:t xml:space="preserve">Report:</w:t>
      </w:r>
      <w:r>
        <w:t xml:space="preserve"> </w:t>
      </w:r>
      <w:r>
        <w:t xml:space="preserve">Professorial</w:t>
      </w:r>
      <w:r>
        <w:t xml:space="preserve"> </w:t>
      </w:r>
      <w:r>
        <w:t xml:space="preserve">Standards</w:t>
      </w:r>
      <w:r>
        <w:t xml:space="preserve"> </w:t>
      </w:r>
      <w:r>
        <w:t xml:space="preserve">in</w:t>
      </w:r>
      <w:r>
        <w:t xml:space="preserve"> </w:t>
      </w:r>
      <w:r>
        <w:t xml:space="preserve">Australia</w:t>
      </w:r>
      <w:r>
        <w:t xml:space="preserve"> </w:t>
      </w:r>
      <w:r>
        <w:t xml:space="preserve">Melbourne</w:t>
      </w:r>
    </w:p>
    <w:bookmarkStart w:id="20" w:name="Xa867075b6bda4f7cf76f70d9762899057f35bf2"/>
    <w:p>
      <w:pPr>
        <w:pStyle w:val="Heading1"/>
      </w:pPr>
      <w:r>
        <w:t xml:space="preserve">Laboratory Report on Professorial Standards and Academic Infrastructure</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Australia, Melbourne</w:t>
      </w:r>
      <w:r>
        <w:br/>
      </w:r>
      <w:r>
        <w:rPr>
          <w:bCs/>
          <w:b/>
        </w:rPr>
        <w:t xml:space="preserve">Subject:</w:t>
      </w:r>
      <w:r>
        <w:t xml:space="preserve"> </w:t>
      </w:r>
      <w:r>
        <w:t xml:space="preserve">Evaluation of the Role and Impact of the Professor in Modern Australian Higher Education</w:t>
      </w:r>
    </w:p>
    <w:bookmarkEnd w:id="20"/>
    <w:bookmarkStart w:id="21" w:name="executive-summary"/>
    <w:p>
      <w:pPr>
        <w:pStyle w:val="Heading2"/>
      </w:pPr>
      <w:r>
        <w:t xml:space="preserve">1. Executive Summary</w:t>
      </w:r>
    </w:p>
    <w:p>
      <w:pPr>
        <w:pStyle w:val="FirstParagraph"/>
      </w:pPr>
      <w:r>
        <w:t xml:space="preserve">This report serves as a comprehensive analysis of the evolving role of the</w:t>
      </w:r>
      <w:r>
        <w:t xml:space="preserve"> </w:t>
      </w:r>
      <w:r>
        <w:t xml:space="preserve">Professor</w:t>
      </w:r>
      <w:r>
        <w:t xml:space="preserve">, focusing specifically on their function within the academic and research ecosystem of</w:t>
      </w:r>
      <w:r>
        <w:t xml:space="preserve"> </w:t>
      </w:r>
      <w:r>
        <w:rPr>
          <w:bCs/>
          <w:b/>
        </w:rPr>
        <w:t xml:space="preserve">Australia Melbourne</w:t>
      </w:r>
      <w:r>
        <w:t xml:space="preserve">. As a major hub for higher education in the Asia-Pacific region, Melbourne represents a unique intersection of historical academic rigor and modern scientific innovation. The primary objective of this laboratory report is to evaluate how Professorial leadership influences research output, student mentorship, and institutional reputation within the state of Victoria. By examining case studies from leading institutions such as the University of Melbourne and Monash University, we aim to define best practices for Professorial conduct and strategic oversight.</w:t>
      </w:r>
    </w:p>
    <w:bookmarkEnd w:id="21"/>
    <w:bookmarkStart w:id="22" w:name="introduction"/>
    <w:p>
      <w:pPr>
        <w:pStyle w:val="Heading2"/>
      </w:pPr>
      <w:r>
        <w:t xml:space="preserve">2. Introduction</w:t>
      </w:r>
    </w:p>
    <w:p>
      <w:pPr>
        <w:pStyle w:val="FirstParagraph"/>
      </w:pPr>
      <w:r>
        <w:t xml:space="preserve">In the contemporary academic landscape, the title of</w:t>
      </w:r>
      <w:r>
        <w:t xml:space="preserve"> </w:t>
      </w:r>
      <w:r>
        <w:rPr>
          <w:bCs/>
          <w:b/>
        </w:rPr>
        <w:t xml:space="preserve">Professor</w:t>
      </w:r>
      <w:r>
        <w:t xml:space="preserve"> </w:t>
      </w:r>
      <w:r>
        <w:t xml:space="preserve">carries significant weight regarding both authority and responsibility. In Australia Melbourne, where competition for research grants and international student enrollment is fierce, the Professor acts as a critical node in the network of knowledge production. This report investigates three core pillars: scientific integrity, collaborative leadership, and community engagement.</w:t>
      </w:r>
    </w:p>
    <w:p>
      <w:pPr>
        <w:pStyle w:val="BodyText"/>
      </w:pPr>
      <w:r>
        <w:t xml:space="preserve">Melbourne has long been regarded as Australia’s cultural and educational capital. The presence of world-class laboratories and interdisciplinary research centers necessitates a robust framework for Professorial oversight. It is essential to understand that the modern Professor is not merely an educator but a CEO of their respective research groups, responsible for managing budgets, mentoring early-career researchers, and ensuring compliance with national ethical standards.</w:t>
      </w:r>
    </w:p>
    <w:bookmarkEnd w:id="22"/>
    <w:bookmarkStart w:id="23" w:name="methodology"/>
    <w:p>
      <w:pPr>
        <w:pStyle w:val="Heading2"/>
      </w:pPr>
      <w:r>
        <w:t xml:space="preserve">3. Methodology</w:t>
      </w:r>
    </w:p>
    <w:p>
      <w:pPr>
        <w:pStyle w:val="FirstParagraph"/>
      </w:pPr>
      <w:r>
        <w:t xml:space="preserve">To ensure a rigorous evaluation of Professorial impact in Australia Melbourne, this report employs a mixed-methods approach. Data was collected through semi-structured interviews with ten senior Professors across two major universities in Melbourne. Additionally, bibliometric analysis was conducted to measure the citation impact of research teams led by Professors versus those led by Associate Professors over a five-year period.</w:t>
      </w:r>
    </w:p>
    <w:p>
      <w:pPr>
        <w:pStyle w:val="BodyText"/>
      </w:pPr>
      <w:r>
        <w:t xml:space="preserve">The laboratory setting for this study includes observation of weekly departmental meetings and review of internal quality assurance documents from the Universities Accord implementation phase. Special attention was paid to how Professors in Australia Melbourne navigate the tension between administrative duties and active research participation.</w:t>
      </w:r>
    </w:p>
    <w:bookmarkEnd w:id="23"/>
    <w:bookmarkStart w:id="26" w:name="X9f44cf33bced95490718666ba7d031441b9cd60"/>
    <w:p>
      <w:pPr>
        <w:pStyle w:val="Heading2"/>
      </w:pPr>
      <w:r>
        <w:t xml:space="preserve">4. Findings: The Professor as a Strategic Leader</w:t>
      </w:r>
    </w:p>
    <w:bookmarkStart w:id="24" w:name="research-output-and-grant-acquisition"/>
    <w:p>
      <w:pPr>
        <w:pStyle w:val="Heading3"/>
      </w:pPr>
      <w:r>
        <w:t xml:space="preserve">4.1 Research Output and Grant Acquisition</w:t>
      </w:r>
    </w:p>
    <w:p>
      <w:pPr>
        <w:pStyle w:val="FirstParagraph"/>
      </w:pPr>
      <w:r>
        <w:t xml:space="preserve">The data indicates a strong correlation between active Professorial involvement in grant writing and successful funding acquisition from the Australian Research Council (ARC). Professors in Australia Melbourne who actively mentor PhD candidates tend to produce higher-quality publications. However, the report highlights a critical challenge: administrative burdens are increasingly detracting from time spent on direct research supervision.</w:t>
      </w:r>
    </w:p>
    <w:p>
      <w:pPr>
        <w:pStyle w:val="BodyText"/>
      </w:pPr>
      <w:r>
        <w:t xml:space="preserve">In several case studies observed within Melbourne’s biomedical precinct, it was found that Professors who delegated routine administrative tasks were able to maintain high levels of scientific output. This suggests that effective Professorial leadership requires strong team management skills, allowing the Professor to focus on strategic direction rather than operational minutiae.</w:t>
      </w:r>
    </w:p>
    <w:bookmarkEnd w:id="24"/>
    <w:bookmarkStart w:id="25" w:name="mentorship-and-student-outcomes"/>
    <w:p>
      <w:pPr>
        <w:pStyle w:val="Heading3"/>
      </w:pPr>
      <w:r>
        <w:t xml:space="preserve">4.2 Mentorship and Student Outcomes</w:t>
      </w:r>
    </w:p>
    <w:p>
      <w:pPr>
        <w:pStyle w:val="FirstParagraph"/>
      </w:pPr>
      <w:r>
        <w:t xml:space="preserve">Melbourne’s universities are known for their high standards of student support. The analysis reveals that students supervised by Professors report higher levels of satisfaction regarding career development opportunities. This is largely due to the Professor’s ability to leverage professional networks within Australia Melbourne’s growing tech and health sectors.</w:t>
      </w:r>
    </w:p>
    <w:p>
      <w:pPr>
        <w:pStyle w:val="BodyText"/>
      </w:pPr>
      <w:r>
        <w:t xml:space="preserve">Furthermore, the report notes a positive trend in interdisciplinary mentorship. Professors in Australia Melbourne are increasingly forming cross-faculty alliances, allowing students to access expertise beyond their immediate department. This collaborative model enhances the employability of graduates and fosters innovation.</w:t>
      </w:r>
    </w:p>
    <w:bookmarkEnd w:id="25"/>
    <w:bookmarkEnd w:id="26"/>
    <w:bookmarkStart w:id="27" w:name="X2ac2d846f7a8b5b19253ffd0c2f8863cd89d7fa"/>
    <w:p>
      <w:pPr>
        <w:pStyle w:val="Heading2"/>
      </w:pPr>
      <w:r>
        <w:t xml:space="preserve">5. Discussion: Institutional Context in Australia Melbourne</w:t>
      </w:r>
    </w:p>
    <w:p>
      <w:pPr>
        <w:pStyle w:val="FirstParagraph"/>
      </w:pPr>
      <w:r>
        <w:t xml:space="preserve">The specific context of Australia Melbourne plays a pivotal role in shaping Professorial responsibilities. The city’s status as a global education destination means that Professors often serve as ambassadors for their institutions. They are expected to engage with international partners, participate in high-level policy discussions, and uphold the reputation of Australian higher education on the world stage.</w:t>
      </w:r>
    </w:p>
    <w:p>
      <w:pPr>
        <w:pStyle w:val="BodyText"/>
      </w:pPr>
      <w:r>
        <w:t xml:space="preserve">Additionally, the geographic isolation of Australia requires Professors to be particularly proactive in establishing global collaborations. Melbourne’s proximity to Asian markets provides a strategic advantage, and successful Professors are those who actively cultivate these ties. This involves not only academic exchange but also participation in cultural and diplomatic initiatives that strengthen bilateral educational relations.</w:t>
      </w:r>
    </w:p>
    <w:p>
      <w:pPr>
        <w:pStyle w:val="BodyText"/>
      </w:pPr>
      <w:r>
        <w:t xml:space="preserve">Moreover, the push for Indigenous engagement is a significant factor in the current Australian Melbourne context. Professors are increasingly expected to incorporate Indigenous knowledge systems into their research frameworks and curriculum design. This reflects a broader national commitment to reconciliation and requires Professors to engage with local communities respectfully and ethically.</w:t>
      </w:r>
    </w:p>
    <w:bookmarkEnd w:id="27"/>
    <w:bookmarkStart w:id="30" w:name="challenges-and-recommendations"/>
    <w:p>
      <w:pPr>
        <w:pStyle w:val="Heading2"/>
      </w:pPr>
      <w:r>
        <w:t xml:space="preserve">6. Challenges and Recommendations</w:t>
      </w:r>
    </w:p>
    <w:bookmarkStart w:id="28" w:name="workload-management"/>
    <w:p>
      <w:pPr>
        <w:pStyle w:val="Heading3"/>
      </w:pPr>
      <w:r>
        <w:t xml:space="preserve">6.1 Workload Management</w:t>
      </w:r>
    </w:p>
    <w:p>
      <w:pPr>
        <w:pStyle w:val="FirstParagraph"/>
      </w:pPr>
      <w:r>
        <w:t xml:space="preserve">The report identifies workload saturation as the primary threat to Professorial effectiveness in Australia Melbourne. To mitigate this, institutions should consider implementing reduced teaching loads for Professors holding major grant-funded positions. This would allow them to focus on high-impact research and strategic leadership.</w:t>
      </w:r>
    </w:p>
    <w:bookmarkEnd w:id="28"/>
    <w:bookmarkStart w:id="29" w:name="digital-infrastructure"/>
    <w:p>
      <w:pPr>
        <w:pStyle w:val="Heading3"/>
      </w:pPr>
      <w:r>
        <w:t xml:space="preserve">6.2 Digital Infrastructure</w:t>
      </w:r>
    </w:p>
    <w:p>
      <w:pPr>
        <w:pStyle w:val="FirstParagraph"/>
      </w:pPr>
      <w:r>
        <w:t xml:space="preserve">To support the modern Professor, enhanced digital infrastructure is required. In Australia Melbourne, where hybrid work models are becoming standard, robust IT support for data management and remote collaboration tools is essential. Investing in these technologies will enable Professors to maintain productivity regardless of physical location.</w:t>
      </w:r>
    </w:p>
    <w:bookmarkEnd w:id="29"/>
    <w:bookmarkEnd w:id="30"/>
    <w:bookmarkStart w:id="31" w:name="conclusion"/>
    <w:p>
      <w:pPr>
        <w:pStyle w:val="Heading2"/>
      </w:pPr>
      <w:r>
        <w:t xml:space="preserve">7. Conclusion</w:t>
      </w:r>
    </w:p>
    <w:p>
      <w:pPr>
        <w:pStyle w:val="FirstParagraph"/>
      </w:pPr>
      <w:r>
        <w:t xml:space="preserve">In conclusion, this Lab Report underscores the critical importance of the Professor in driving academic excellence and research innovation within Australia Melbourne. The findings demonstrate that effective Professorial leadership is multifaceted, requiring a balance between scientific rigor, administrative competence, and community engagement.</w:t>
      </w:r>
    </w:p>
    <w:p>
      <w:pPr>
        <w:pStyle w:val="BodyText"/>
      </w:pPr>
      <w:r>
        <w:t xml:space="preserve">As Melbourne continues to evolve as a global hub for education and research, the role of the Professor will remain central to its success. By addressing current challenges related to workload and resource allocation, universities can ensure that Professors are empowered to fulfill their duties effectively. The recommendations provided in this report aim to support institutions in creating an environment where Professorial talent can thrive, ultimately benefiting students, researchers, and society at large.</w:t>
      </w:r>
    </w:p>
    <w:p>
      <w:pPr>
        <w:pStyle w:val="BodyText"/>
      </w:pPr>
      <w:r>
        <w:t xml:space="preserve">Future studies should focus on longitudinal analyses of Professorial career trajectories and the long-term impact of interdisciplinary collaboration initiatives. It is imperative that stakeholders continue to monitor these developments to ensure that the academic standards in Australia Melbourne remain world-class.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Leadership and Research Excellence Lab Report: Professorial Standards in Australia Melbourne</dc:title>
  <dc:creator/>
  <dc:language>en</dc:language>
  <cp:keywords/>
  <dcterms:created xsi:type="dcterms:W3CDTF">2026-07-29T17:54:30Z</dcterms:created>
  <dcterms:modified xsi:type="dcterms:W3CDTF">2026-07-29T17:54:30Z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