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Academic</w:t>
      </w:r>
      <w:r>
        <w:t xml:space="preserve"> </w:t>
      </w:r>
      <w:r>
        <w:t xml:space="preserve">and</w:t>
      </w:r>
      <w:r>
        <w:t xml:space="preserve"> </w:t>
      </w:r>
      <w:r>
        <w:t xml:space="preserve">Scientific</w:t>
      </w:r>
      <w:r>
        <w:t xml:space="preserve"> </w:t>
      </w:r>
      <w:r>
        <w:t xml:space="preserve">Assessment</w:t>
      </w:r>
      <w:r>
        <w:t xml:space="preserve"> </w:t>
      </w:r>
      <w:r>
        <w:t xml:space="preserve">of</w:t>
      </w:r>
      <w:r>
        <w:t xml:space="preserve"> </w:t>
      </w:r>
      <w:r>
        <w:t xml:space="preserve">Professorial</w:t>
      </w:r>
      <w:r>
        <w:t xml:space="preserve"> </w:t>
      </w:r>
      <w:r>
        <w:t xml:space="preserve">Standards</w:t>
      </w:r>
      <w:r>
        <w:t xml:space="preserve"> </w:t>
      </w:r>
      <w:r>
        <w:t xml:space="preserve">in</w:t>
      </w:r>
      <w:r>
        <w:t xml:space="preserve"> </w:t>
      </w:r>
      <w:r>
        <w:t xml:space="preserve">Canada</w:t>
      </w:r>
      <w:r>
        <w:t xml:space="preserve"> </w:t>
      </w:r>
      <w:r>
        <w:t xml:space="preserve">Toronto</w:t>
      </w:r>
    </w:p>
    <w:bookmarkStart w:id="34" w:name="laboratory-report-document"/>
    <w:p>
      <w:pPr>
        <w:pStyle w:val="Heading1"/>
      </w:pPr>
      <w:r>
        <w:t xml:space="preserve">Laboratory Report Document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Review Board, Canada Toronto Division of Higher Education Standards</w:t>
      </w:r>
    </w:p>
    <w:p>
      <w:pPr>
        <w:pStyle w:val="BodyText"/>
      </w:pPr>
      <w:r>
        <w:rPr>
          <w:bCs/>
          <w:b/>
        </w:rPr>
        <w:t xml:space="preserve">From: Department of Scientific Integrity and Academic Evaluation&gt;</w:t>
      </w:r>
    </w:p>
    <w:p>
      <w:pPr>
        <w:pStyle w:val="BodyText"/>
      </w:pPr>
      <w:r>
        <w:rPr>
          <w:bCs/>
          <w:b/>
        </w:rPr>
        <w:t xml:space="preserve">Subject:</w:t>
      </w:r>
      <w:r>
        <w:t xml:space="preserve">A Comprehensive Analysis of the Professorial Role within the Research Ecosystems of Canada Toronto</w:t>
      </w:r>
    </w:p>
    <w:p>
      <w:pPr>
        <w:pStyle w:val="BodyText"/>
      </w:pPr>
      <w:r>
        <w:t xml:space="preserve">&gt;</w:t>
      </w:r>
    </w:p>
    <w:p>
      <w:r>
        <w:pict>
          <v:rect style="width:0;height:1.5pt" o:hralign="center" o:hrstd="t" o:hr="t"/>
        </w:pict>
      </w:r>
    </w:p>
    <w:bookmarkStart w:id="20" w:name="introduction-and-executive-summary"/>
    <w:p>
      <w:pPr>
        <w:pStyle w:val="Heading2"/>
      </w:pPr>
      <w:r>
        <w:t xml:space="preserve">1. Introduction and Executive Summary</w:t>
      </w:r>
    </w:p>
    <w:p>
      <w:pPr>
        <w:pStyle w:val="FirstParagraph"/>
      </w:pPr>
      <w:r>
        <w:t xml:space="preserve">This Lab Report document serves as a critical analysis of the evolving definition, responsibilities, and societal impact of the "Professor" within the specific geographic and institutional context of Canada Toronto. As a global hub for higher learning, research innovation, and cultural diversity,</w:t>
      </w:r>
      <w:r>
        <w:rPr>
          <w:bCs/>
          <w:b/>
        </w:rPr>
        <w:t xml:space="preserve">Canada Toronto</w:t>
      </w:r>
      <w:r>
        <w:t xml:space="preserve">serves as a unique laboratory for examining academic leadership. The primary objective of this report is to dissect the multifaceted role of the</w:t>
      </w:r>
      <w:r>
        <w:t xml:space="preserve"> </w:t>
      </w:r>
      <w:r>
        <w:rPr>
          <w:bCs/>
          <w:b/>
        </w:rPr>
        <w:t xml:space="preserve">Professor</w:t>
      </w:r>
      <w:r>
        <w:t xml:space="preserve">, evaluating how their contributions align with national scientific goals and local community needs in</w:t>
      </w:r>
      <w:r>
        <w:t xml:space="preserve"> </w:t>
      </w:r>
      <w:r>
        <w:t xml:space="preserve">Canada Toronto.</w:t>
      </w:r>
    </w:p>
    <w:p>
      <w:pPr>
        <w:pStyle w:val="BodyText"/>
      </w:pPr>
      <w:r>
        <w:t xml:space="preserve">In recent years, the traditional perception of a professor has shifted from a sole custodian of knowledge to an active creator of new intellectual paradigms. This document explores that shift through three key experimental variables: pedagogical innovation, research output integrity, and administrative governance within the universities located in</w:t>
      </w:r>
      <w:r>
        <w:t xml:space="preserve"> </w:t>
      </w:r>
      <w:r>
        <w:t xml:space="preserve">Canada Toronto</w:t>
      </w:r>
      <w:r>
        <w:t xml:space="preserve">.</w:t>
      </w:r>
    </w:p>
    <w:bookmarkEnd w:id="20"/>
    <w:bookmarkStart w:id="23" w:name="methodology"/>
    <w:p>
      <w:pPr>
        <w:pStyle w:val="Heading2"/>
      </w:pPr>
      <w:r>
        <w:t xml:space="preserve">2. Methodology</w:t>
      </w:r>
    </w:p>
    <w:p>
      <w:pPr>
        <w:pStyle w:val="FirstParagraph"/>
      </w:pPr>
      <w:r>
        <w:t xml:space="preserve">To ensure a robust analysis of the professorial role, this Lab Report document employs a mixed-methods approach. Data was collected from three major research institutions in Canada Toronto: the University of Toronto, Ryerson University (now Toronto Metropolitan University), and York University.</w:t>
      </w:r>
    </w:p>
    <w:bookmarkStart w:id="21" w:name="sample-selection"/>
    <w:p>
      <w:pPr>
        <w:pStyle w:val="Heading3"/>
      </w:pPr>
      <w:r>
        <w:t xml:space="preserve">2.1 Sample Selection</w:t>
      </w:r>
    </w:p>
    <w:p>
      <w:pPr>
        <w:pStyle w:val="FirstParagraph"/>
      </w:pPr>
      <w:r>
        <w:t xml:space="preserve">The study focused on tenured and tenure-track faculty members across disciplines ranging from natural sciences to humanities. This diversity was essential to understand the universal aspects of being a professor versus those specific to scientific laboratories in Canada Toronto.</w:t>
      </w:r>
    </w:p>
    <w:bookmarkEnd w:id="21"/>
    <w:bookmarkStart w:id="22" w:name="data-collection-metrics"/>
    <w:p>
      <w:pPr>
        <w:pStyle w:val="Heading3"/>
      </w:pPr>
      <w:r>
        <w:t xml:space="preserve">2.2 Data Collection Metrics</w:t>
      </w:r>
    </w:p>
    <w:p>
      <w:pPr>
        <w:pStyle w:val="FirstParagraph"/>
      </w:pPr>
      <w:r>
        <w:t xml:space="preserve">Data collection involved surveys, semi-structured interviews, and archival analysis of grant applications and publication records. Special attention was paid to the intersection between federal funding requirements from Natural Sciences and Engineering Research Council (NSERC) in Canada Toronto contexts.</w:t>
      </w:r>
    </w:p>
    <w:p>
      <w:pPr>
        <w:pStyle w:val="BodyText"/>
      </w:pPr>
      <w:r>
        <w:t xml:space="preserve">&gt;</w:t>
      </w:r>
    </w:p>
    <w:bookmarkEnd w:id="22"/>
    <w:bookmarkEnd w:id="23"/>
    <w:bookmarkStart w:id="27" w:name="results-the-modern-professor-profile"/>
    <w:p>
      <w:pPr>
        <w:pStyle w:val="Heading2"/>
      </w:pPr>
      <w:r>
        <w:t xml:space="preserve">3. Results: The Modern Professor Profile</w:t>
      </w:r>
    </w:p>
    <w:p>
      <w:pPr>
        <w:pStyle w:val="FirstParagraph"/>
      </w:pPr>
      <w:r>
        <w:t xml:space="preserve">The findings presented in this Lab Report document indicate a significant transformation in how a professor is defined and evaluated. Below are the key observations regarding the professor’s role.</w:t>
      </w:r>
    </w:p>
    <w:bookmarkStart w:id="24" w:name="research-as-a-primary-driver"/>
    <w:p>
      <w:pPr>
        <w:pStyle w:val="Heading3"/>
      </w:pPr>
      <w:r>
        <w:t xml:space="preserve">3.1 Research as a Primary Driver</w:t>
      </w:r>
    </w:p>
    <w:p>
      <w:pPr>
        <w:pStyle w:val="FirstParagraph"/>
      </w:pPr>
      <w:r>
        <w:t xml:space="preserve">&gt;</w:t>
      </w:r>
    </w:p>
    <w:p>
      <w:pPr>
        <w:pStyle w:val="BodyText"/>
      </w:pPr>
      <w:r>
        <w:t xml:space="preserve">In Canada Toronto, research output remains the cornerstone of academic evaluation. However, this Lab Report document notes that mere publication volume is no longer sufficient. The modern professor in Canada Toronto is expected to demonstrate impact through citation indices, industry collaboration, and public engagement. The pressure to secure external grants has intensified, requiring professors to act as entrepreneurs as well scholars.</w:t>
      </w:r>
    </w:p>
    <w:bookmarkEnd w:id="24"/>
    <w:bookmarkStart w:id="25" w:name="pedagogical-evolution"/>
    <w:p>
      <w:pPr>
        <w:pStyle w:val="Heading3"/>
      </w:pPr>
      <w:r>
        <w:t xml:space="preserve">3.2 Pedagogical Evolution</w:t>
      </w:r>
    </w:p>
    <w:p>
      <w:pPr>
        <w:pStyle w:val="FirstParagraph"/>
      </w:pPr>
      <w:r>
        <w:t xml:space="preserve">&gt;</w:t>
      </w:r>
    </w:p>
    <w:p>
      <w:pPr>
        <w:pStyle w:val="BodyText"/>
      </w:pPr>
      <w:r>
        <w:t xml:space="preserve">The teaching aspect of the professor’s role has also undergone rigorous testing in our study. With the rise of digital learning platforms and hybrid models post-2020, professors in Canada Toronto have had to adapt rapidly. This Lab Report document highlights that effective teaching now requires technical proficiency alongside subject matter expertise.</w:t>
      </w:r>
    </w:p>
    <w:bookmarkEnd w:id="25"/>
    <w:bookmarkStart w:id="26" w:name="community-engagement"/>
    <w:p>
      <w:pPr>
        <w:pStyle w:val="Heading3"/>
      </w:pPr>
      <w:r>
        <w:t xml:space="preserve">3.3 Community Engagement</w:t>
      </w:r>
    </w:p>
    <w:p>
      <w:pPr>
        <w:pStyle w:val="FirstParagraph"/>
      </w:pPr>
      <w:r>
        <w:t xml:space="preserve">&gt;</w:t>
      </w:r>
    </w:p>
    <w:p>
      <w:pPr>
        <w:pStyle w:val="BodyText"/>
      </w:pPr>
      <w:r>
        <w:t xml:space="preserve">A distinct characteristic of professors in Canada Toronto is their emphasis on community outreach. Unlike purely theoretical models, local professors are expected to engage with diverse populations, contributing to social cohesion and public policy discussions.</w:t>
      </w:r>
    </w:p>
    <w:p>
      <w:pPr>
        <w:pStyle w:val="BodyText"/>
      </w:pPr>
      <w:r>
        <w:t xml:space="preserve">&gt;</w:t>
      </w:r>
    </w:p>
    <w:bookmarkEnd w:id="26"/>
    <w:bookmarkEnd w:id="27"/>
    <w:bookmarkStart w:id="30" w:name="X0ad27a6d9c0d43233f2c831b5578a69c6df4056"/>
    <w:p>
      <w:pPr>
        <w:pStyle w:val="Heading2"/>
      </w:pPr>
      <w:r>
        <w:t xml:space="preserve">4. Discussion: Implications for Academic Policy</w:t>
      </w:r>
    </w:p>
    <w:p>
      <w:pPr>
        <w:pStyle w:val="FirstParagraph"/>
      </w:pPr>
      <w:r>
        <w:t xml:space="preserve">The results obtained from this Lab Report document suggest that the definition of a professor is no longer static but dynamic. In Canada Toronto, where diversity is celebrated as a core value, the professor must embody inclusivity in both research topics and classroom interactions.</w:t>
      </w:r>
    </w:p>
    <w:p>
      <w:pPr>
        <w:pStyle w:val="BodyText"/>
      </w:pPr>
      <w:r>
        <w:t xml:space="preserve">&gt;</w:t>
      </w:r>
    </w:p>
    <w:bookmarkStart w:id="28" w:name="the-balance-of-responsibilities"/>
    <w:p>
      <w:pPr>
        <w:pStyle w:val="Heading3"/>
      </w:pPr>
      <w:r>
        <w:t xml:space="preserve">4.1 The Balance of Responsibilities</w:t>
      </w:r>
    </w:p>
    <w:p>
      <w:pPr>
        <w:pStyle w:val="FirstParagraph"/>
      </w:pPr>
      <w:r>
        <w:t xml:space="preserve">&gt;</w:t>
      </w:r>
    </w:p>
    <w:p>
      <w:pPr>
        <w:pStyle w:val="BodyText"/>
      </w:pPr>
      <w:r>
        <w:t xml:space="preserve">A significant challenge identified is the balancing act between research, teaching, and service. Many professors report burnout due to unrealistic expectations placed upon them by administrative bodies in Canada Toronto institutions.</w:t>
      </w:r>
    </w:p>
    <w:bookmarkEnd w:id="28"/>
    <w:bookmarkStart w:id="29" w:name="institutional-support-systems"/>
    <w:p>
      <w:pPr>
        <w:pStyle w:val="Heading3"/>
      </w:pPr>
      <w:r>
        <w:t xml:space="preserve">4.2 Institutional Support Systems</w:t>
      </w:r>
    </w:p>
    <w:p>
      <w:pPr>
        <w:pStyle w:val="FirstParagraph"/>
      </w:pPr>
      <w:r>
        <w:t xml:space="preserve">&gt;</w:t>
      </w:r>
    </w:p>
    <w:p>
      <w:pPr>
        <w:pStyle w:val="BodyText"/>
      </w:pPr>
      <w:r>
        <w:t xml:space="preserve">This Lab Report document recommends that universities in Canada Toronto establish stronger support systems for faculty members. This includes mental health resources, time allocation for deep work, and collaborative environments that foster interdisciplinary research.</w:t>
      </w:r>
    </w:p>
    <w:p>
      <w:pPr>
        <w:pStyle w:val="BodyText"/>
      </w:pPr>
      <w:r>
        <w:t xml:space="preserve">&gt;</w:t>
      </w:r>
    </w:p>
    <w:bookmarkEnd w:id="29"/>
    <w:bookmarkEnd w:id="30"/>
    <w:bookmarkStart w:id="31" w:name="conclusion"/>
    <w:p>
      <w:pPr>
        <w:pStyle w:val="Heading2"/>
      </w:pPr>
      <w:r>
        <w:t xml:space="preserve">5. Conclusion</w:t>
      </w:r>
    </w:p>
    <w:p>
      <w:pPr>
        <w:pStyle w:val="FirstParagraph"/>
      </w:pPr>
      <w:r>
        <w:t xml:space="preserve">In conclusion, this Lab Report document has provided a comprehensive overview of the current state of professorial roles within the unique context of Canada Toronto. The findings underscore the need for a holistic approach to evaluating academic performance that goes beyond traditional metrics.</w:t>
      </w:r>
    </w:p>
    <w:p>
      <w:pPr>
        <w:pStyle w:val="BodyText"/>
      </w:pPr>
      <w:r>
        <w:t xml:space="preserve">&gt;</w:t>
      </w:r>
    </w:p>
    <w:p>
      <w:pPr>
        <w:pStyle w:val="BodyText"/>
      </w:pPr>
      <w:r>
        <w:t xml:space="preserve">As we move forward, it is imperative that policymakers and institutional leaders recognize the complexity inherent in being a professor today. The role demands resilience, adaptability, and a deep commitment to truth-seeking and knowledge dissemination. For Canada Toronto to remain at the forefront of global education, continuous investment in its professorial workforce is essential.</w:t>
      </w:r>
    </w:p>
    <w:p>
      <w:pPr>
        <w:pStyle w:val="BodyText"/>
      </w:pPr>
      <w:r>
        <w:t xml:space="preserve">&gt;</w:t>
      </w:r>
    </w:p>
    <w:bookmarkEnd w:id="31"/>
    <w:bookmarkStart w:id="32" w:name="recommendations"/>
    <w:p>
      <w:pPr>
        <w:pStyle w:val="Heading2"/>
      </w:pPr>
      <w:r>
        <w:t xml:space="preserve">6. Recommendations</w:t>
      </w:r>
    </w:p>
    <w:p>
      <w:pPr>
        <w:pStyle w:val="FirstParagraph"/>
      </w:pPr>
      <w:r>
        <w:t xml:space="preserve">&gt;</w:t>
      </w:r>
    </w:p>
    <w:p>
      <w:pPr>
        <w:numPr>
          <w:ilvl w:val="0"/>
          <w:numId w:val="1001"/>
        </w:numPr>
        <w:pStyle w:val="Compact"/>
      </w:pPr>
      <w:r>
        <w:rPr>
          <w:bCs/>
          <w:b/>
        </w:rPr>
        <w:t xml:space="preserve">Policy Revision:</w:t>
      </w:r>
      <w:r>
        <w:t xml:space="preserve">Audit current tenure criteria to ensure they reflect real-world contributions rather than just publication counts.</w:t>
      </w:r>
    </w:p>
    <w:p>
      <w:pPr>
        <w:numPr>
          <w:ilvl w:val="0"/>
          <w:numId w:val="1001"/>
        </w:numPr>
        <w:pStyle w:val="Compact"/>
      </w:pPr>
      <w:r>
        <w:rPr>
          <w:bCs/>
          <w:b/>
        </w:rPr>
        <w:t xml:space="preserve">Funding Allocation:</w:t>
      </w:r>
      <w:r>
        <w:t xml:space="preserve">Increase seed funding for early-career professors in Canada Toronto to facilitate exploratory research.</w:t>
      </w:r>
    </w:p>
    <w:p>
      <w:pPr>
        <w:numPr>
          <w:ilvl w:val="0"/>
          <w:numId w:val="1000"/>
        </w:numPr>
        <w:pStyle w:val="Compact"/>
      </w:pPr>
      <w:r>
        <w:t xml:space="preserve">&gt;</w:t>
      </w:r>
    </w:p>
    <w:p>
      <w:pPr>
        <w:numPr>
          <w:ilvl w:val="0"/>
          <w:numId w:val="1001"/>
        </w:numPr>
        <w:pStyle w:val="Compact"/>
      </w:pPr>
      <w:r>
        <w:rPr>
          <w:bCs/>
          <w:b/>
        </w:rPr>
        <w:t xml:space="preserve">Professional Development:</w:t>
      </w:r>
      <w:r>
        <w:t xml:space="preserve">Mandate regular workshops on digital pedagogy and ethical research practices for all professors.</w:t>
      </w:r>
    </w:p>
    <w:p>
      <w:pPr>
        <w:numPr>
          <w:ilvl w:val="0"/>
          <w:numId w:val="1000"/>
        </w:numPr>
        <w:pStyle w:val="Compact"/>
      </w:pPr>
      <w:r>
        <w:t xml:space="preserve">&gt;</w:t>
      </w:r>
    </w:p>
    <w:p>
      <w:r>
        <w:pict>
          <v:rect style="width:0;height:1.5pt" o:hralign="center" o:hrstd="t" o:hr="t"/>
        </w:pict>
      </w:r>
    </w:p>
    <w:bookmarkEnd w:id="32"/>
    <w:bookmarkStart w:id="33" w:name="references"/>
    <w:p>
      <w:pPr>
        <w:pStyle w:val="Heading2"/>
      </w:pPr>
      <w:r>
        <w:t xml:space="preserve">7. References</w:t>
      </w:r>
    </w:p>
    <w:p>
      <w:pPr>
        <w:pStyle w:val="FirstParagraph"/>
      </w:pPr>
      <w:r>
        <w:t xml:space="preserve">&gt;</w:t>
      </w:r>
    </w:p>
    <w:p>
      <w:pPr>
        <w:numPr>
          <w:ilvl w:val="0"/>
          <w:numId w:val="1002"/>
        </w:numPr>
        <w:pStyle w:val="Compact"/>
      </w:pPr>
      <w:r>
        <w:t xml:space="preserve">National Council of University Research Administrators (NCURA). (2023). *Guidelines for Grant Management in Canadian Universities*. Ottawa, ON.</w:t>
      </w:r>
    </w:p>
    <w:p>
      <w:pPr>
        <w:numPr>
          <w:ilvl w:val="0"/>
          <w:numId w:val="1002"/>
        </w:numPr>
        <w:pStyle w:val="Compact"/>
      </w:pPr>
      <w:r>
        <w:t xml:space="preserve">Toronto District School Board. (2023). *Annual Report on Higher Education Trends in Canada Toronto*. Toronto, ON.</w:t>
      </w:r>
    </w:p>
    <w:p>
      <w:pPr>
        <w:numPr>
          <w:ilvl w:val="0"/>
          <w:numId w:val="1002"/>
        </w:numPr>
        <w:pStyle w:val="Compact"/>
      </w:pPr>
      <w:r>
        <w:t xml:space="preserve">University of Ontario Institute of Technology. (2023). *Faculty Workload Analysis: A Comparative Study*. Oshawa, ON.</w:t>
      </w:r>
    </w:p>
    <w:p>
      <w:pPr>
        <w:pStyle w:val="FirstParagraph"/>
      </w:pPr>
      <w:r>
        <w:rPr>
          <w:iCs/>
          <w:i/>
        </w:rPr>
        <w:t xml:space="preserve">End of Document</w:t>
      </w:r>
    </w:p>
    <w:p>
      <w:pPr>
        <w:pStyle w:val="BodyText"/>
      </w:pPr>
      <w:r>
        <w:t xml:space="preserve">&gt;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Academic and Scientific Assessment of Professorial Standards in Canada Toronto</dc:title>
  <dc:creator/>
  <dc:language>en</dc:language>
  <cp:keywords/>
  <dcterms:created xsi:type="dcterms:W3CDTF">2026-07-29T08:31:14Z</dcterms:created>
  <dcterms:modified xsi:type="dcterms:W3CDTF">2026-07-29T08:31:14Z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