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Research</w:t>
      </w:r>
      <w:r>
        <w:t xml:space="preserve"> </w:t>
      </w:r>
      <w:r>
        <w:t xml:space="preserve">Initiative</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3" w:name="Xad3dad0234b4fb82a2e4fce733305ccc37a866b"/>
    <w:p>
      <w:pPr>
        <w:pStyle w:val="Heading1"/>
      </w:pPr>
      <w:r>
        <w:t xml:space="preserve">Laboratory Report: Comparative Analysis of Traditional and Modern Academic Methodologies Implemented by the Professor in Japan Kyoto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Institute for Advanced Studies, Japan Kyoto</w:t>
      </w:r>
      <w:r>
        <w:br/>
      </w:r>
      <w:r>
        <w:rPr>
          <w:bCs/>
          <w:b/>
        </w:rPr>
        <w:t xml:space="preserve">Subject:</w:t>
      </w:r>
      <w:r>
        <w:br/>
      </w:r>
      <w:r>
        <w:br/>
      </w:r>
    </w:p>
    <w:bookmarkStart w:id="20" w:name="introduction"/>
    <w:p>
      <w:pPr>
        <w:pStyle w:val="Heading2"/>
      </w:pPr>
      <w:r>
        <w:t xml:space="preserve">1. Introduction</w:t>
      </w:r>
    </w:p>
    <w:p>
      <w:pPr>
        <w:pStyle w:val="FirstParagraph"/>
      </w:pPr>
      <w:r>
        <w:t xml:space="preserve">The intersection of historical preservation and futuristic innovation represents a unique academic landscape, nowhere more evident than in the bustling yet serene city of Japan Kyoto. This Lab Report details a comprehensive six-month observational study conducted by a visiting Professor specializing in interdisciplinary pedagogy and cultural integration. The primary objective was to evaluate how the Professor's distinct teaching methodology interacts with the rich scholarly heritage found within Japan Kyoto.</w:t>
      </w:r>
    </w:p>
    <w:p>
      <w:pPr>
        <w:pStyle w:val="BodyText"/>
      </w:pPr>
      <w:r>
        <w:t xml:space="preserve">JAPAN KYOTO is not merely a geographic location; it is an ecosystem of thought that has nurtured philosophers, artisans, and scientists for centuries. The "Professor" serves as the catalyst in this experiment, bringing modern Western academic structures into dialogue with traditional Japanese epistemological frameworks. By analyzing student engagement levels, research output quality, and cross-cultural collaboration metrics during the Professor's tenure in Japan Kyoto this report aims to define best practices for international academic exchange.</w:t>
      </w:r>
    </w:p>
    <w:bookmarkEnd w:id="20"/>
    <w:bookmarkStart w:id="24" w:name="methodology"/>
    <w:p>
      <w:pPr>
        <w:pStyle w:val="Heading2"/>
      </w:pPr>
      <w:r>
        <w:t xml:space="preserve">2. Methodology</w:t>
      </w:r>
    </w:p>
    <w:p>
      <w:pPr>
        <w:pStyle w:val="FirstParagraph"/>
      </w:pPr>
      <w:r>
        <w:t xml:space="preserve">The study employed a mixed-methods approach involving quantitative data collection and qualitative ethnographic observation. The Professor established two distinct seminar groups: one focused on theoretical physics and another on urban sociology, both situated within the historic district of Japan Kyoto.</w:t>
      </w:r>
    </w:p>
    <w:bookmarkStart w:id="21" w:name="participant-selection"/>
    <w:p>
      <w:pPr>
        <w:pStyle w:val="Heading3"/>
      </w:pPr>
      <w:r>
        <w:t xml:space="preserve">2.1 Participant Selection</w:t>
      </w:r>
    </w:p>
    <w:p>
      <w:pPr>
        <w:pStyle w:val="FirstParagraph"/>
      </w:pPr>
      <w:r>
        <w:t xml:space="preserve">A total of forty graduate students were recruited from local universities in Japan Kyoto. Participants included senior undergraduate students beginning their master's degrees and early-career researchers. Demographic data was balanced to ensure gender parity and represented various age groups ranging from twenty-two to thirty-five years old.</w:t>
      </w:r>
    </w:p>
    <w:bookmarkEnd w:id="21"/>
    <w:bookmarkStart w:id="22" w:name="experimental-design"/>
    <w:p>
      <w:pPr>
        <w:pStyle w:val="Heading3"/>
      </w:pPr>
      <w:r>
        <w:t xml:space="preserve">2.2 Experimental Design</w:t>
      </w:r>
    </w:p>
    <w:p>
      <w:pPr>
        <w:pStyle w:val="FirstParagraph"/>
      </w:pPr>
      <w:r>
        <w:t xml:space="preserve">The Professor introduced a hybrid curriculum that combined lecture-based instruction with experiential learning sessions located throughout Japan Kyoto. For the physics group, laboratory sessions involved field measurements at historical temples converted into observation decks for atmospheric data collection. In the sociology seminar, students conducted participant observation in tea houses and modern shopping districts across Japan Kyoto.</w:t>
      </w:r>
    </w:p>
    <w:bookmarkEnd w:id="22"/>
    <w:bookmarkStart w:id="23" w:name="data-collection-tools"/>
    <w:p>
      <w:pPr>
        <w:pStyle w:val="Heading3"/>
      </w:pPr>
      <w:r>
        <w:t xml:space="preserve">2.3 Data Collection Tools</w:t>
      </w:r>
    </w:p>
    <w:p>
      <w:pPr>
        <w:pStyle w:val="FirstParagraph"/>
      </w:pPr>
      <w:r>
        <w:t xml:space="preserve">Data was collected through pre- and post-intervention surveys measuring student confidence and knowledge retention. Additionally, semi-structured interviews were conducted with the Professor at weekly intervals to capture insights regarding pedagogical challenges specific to operating in Japan Kyoto.</w:t>
      </w:r>
    </w:p>
    <w:bookmarkEnd w:id="23"/>
    <w:bookmarkEnd w:id="24"/>
    <w:bookmarkStart w:id="27" w:name="results"/>
    <w:p>
      <w:pPr>
        <w:pStyle w:val="Heading2"/>
      </w:pPr>
      <w:r>
        <w:t xml:space="preserve">3. Results</w:t>
      </w:r>
    </w:p>
    <w:bookmarkStart w:id="25" w:name="academic-performance-metrics"/>
    <w:p>
      <w:pPr>
        <w:pStyle w:val="Heading3"/>
      </w:pPr>
      <w:r>
        <w:t xml:space="preserve">3.1 Academic Performance Metrics</w:t>
      </w:r>
    </w:p>
    <w:p>
      <w:pPr>
        <w:pStyle w:val="FirstParagraph"/>
      </w:pPr>
      <w:r>
        <w:t xml:space="preserve">The data indicates a significant improvement in critical thinking scores among students exposed to the Professor's methods compared to control groups taught using standard curricula within Japan Kyoto institutions alone.</w:t>
      </w:r>
    </w:p>
    <w:p>
      <w:pPr>
        <w:numPr>
          <w:ilvl w:val="0"/>
          <w:numId w:val="1001"/>
        </w:numPr>
        <w:pStyle w:val="Compact"/>
      </w:pPr>
      <w:r>
        <w:rPr>
          <w:bCs/>
          <w:b/>
        </w:rPr>
        <w:t xml:space="preserve">Critical Thinking Scores:</w:t>
      </w:r>
      <w:r>
        <w:t xml:space="preserve"> </w:t>
      </w:r>
      <w:r>
        <w:t xml:space="preserve">Increased by an average of twenty-three percent post-intervention.</w:t>
      </w:r>
    </w:p>
    <w:p>
      <w:pPr>
        <w:numPr>
          <w:ilvl w:val="0"/>
          <w:numId w:val="1001"/>
        </w:numPr>
        <w:pStyle w:val="Compact"/>
      </w:pPr>
      <w:r>
        <w:rPr>
          <w:bCs/>
          <w:b/>
        </w:rPr>
        <w:t xml:space="preserve">Cross-Cultural Collaboration Index:</w:t>
      </w:r>
      <w:r>
        <w:t xml:space="preserve"> </w:t>
      </w:r>
      <w:r>
        <w:t xml:space="preserve">Showed a marked increase in peer-to-peer learning activities outside formal classroom settings, particularly when the Professor facilitated group discussions centered on local contexts within Japan Kyoto.</w:t>
      </w:r>
    </w:p>
    <w:bookmarkEnd w:id="25"/>
    <w:bookmarkStart w:id="26" w:name="qualitative-observations"/>
    <w:p>
      <w:pPr>
        <w:pStyle w:val="Heading3"/>
      </w:pPr>
      <w:r>
        <w:t xml:space="preserve">3.2 Qualitative Observations</w:t>
      </w:r>
    </w:p>
    <w:p>
      <w:pPr>
        <w:pStyle w:val="FirstParagraph"/>
      </w:pPr>
      <w:r>
        <w:t xml:space="preserve">Ethnographic notes highlight several key themes emerging from interactions between the Professor and students in Japan Kyoto:</w:t>
      </w:r>
    </w:p>
    <w:p>
      <w:pPr>
        <w:numPr>
          <w:ilvl w:val="0"/>
          <w:numId w:val="1002"/>
        </w:numPr>
        <w:pStyle w:val="Compact"/>
      </w:pPr>
      <w:r>
        <w:rPr>
          <w:bCs/>
          <w:b/>
        </w:rPr>
        <w:t xml:space="preserve">Mentorship Dynamics:</w:t>
      </w:r>
      <w:r>
        <w:t xml:space="preserve">The Professor fostered a non-hierarchical environment that encouraged open dialogue. Students felt more comfortable asking questions, leading to deeper explorations of topics relevant to their lives in Japan Kyoto.</w:t>
      </w:r>
    </w:p>
    <w:p>
      <w:pPr>
        <w:numPr>
          <w:ilvl w:val="0"/>
          <w:numId w:val="1002"/>
        </w:numPr>
        <w:pStyle w:val="Compact"/>
      </w:pPr>
      <w:r>
        <w:rPr>
          <w:bCs/>
          <w:b/>
        </w:rPr>
        <w:t xml:space="preserve">Cultural Contextualization:</w:t>
      </w:r>
      <w:r>
        <w:t xml:space="preserve"> </w:t>
      </w:r>
      <w:r>
        <w:t xml:space="preserve">The integration of local landmarks into lectures enhanced retention rates. For instance, explaining thermodynamic principles using steam rising from hot springs found near Japan Kyoto helped bridge abstract concepts with tangible reality.</w:t>
      </w:r>
    </w:p>
    <w:p>
      <w:pPr>
        <w:numPr>
          <w:ilvl w:val="0"/>
          <w:numId w:val="1002"/>
        </w:numPr>
        <w:pStyle w:val="Compact"/>
      </w:pPr>
      <w:r>
        <w:rPr>
          <w:bCs/>
          <w:b/>
        </w:rPr>
        <w:t xml:space="preserve">Adaptability Requirements:</w:t>
      </w:r>
      <w:r>
        <w:t xml:space="preserve">The Professor had to adjust pacing and communication styles significantly to accommodate the nuanced social norms prevalent in academic circles throughout Japan Kyoto.</w:t>
      </w:r>
    </w:p>
    <w:bookmarkEnd w:id="26"/>
    <w:bookmarkEnd w:id="27"/>
    <w:bookmarkStart w:id="31" w:name="discussion"/>
    <w:p>
      <w:pPr>
        <w:pStyle w:val="Heading2"/>
      </w:pPr>
      <w:r>
        <w:t xml:space="preserve">4. Discussion</w:t>
      </w:r>
    </w:p>
    <w:p>
      <w:pPr>
        <w:pStyle w:val="FirstParagraph"/>
      </w:pPr>
      <w:r>
        <w:t xml:space="preserve">The findings suggest that embedding a visiting Professor within the unique cultural milieu of Japan Kyoto yields substantial benefits for both educational outcomes and cross-cultural understanding. However, several challenges warrant attention.</w:t>
      </w:r>
    </w:p>
    <w:bookmarkStart w:id="28" w:name="bridging-epistemological-gaps"/>
    <w:p>
      <w:pPr>
        <w:pStyle w:val="Heading3"/>
      </w:pPr>
      <w:r>
        <w:t xml:space="preserve">4.1 Bridging Epistemological Gaps</w:t>
      </w:r>
    </w:p>
    <w:p>
      <w:pPr>
        <w:pStyle w:val="FirstParagraph"/>
      </w:pPr>
      <w:r>
        <w:t xml:space="preserve">The Professor noted initial difficulties aligning Western concepts of individualism with Japanese values emphasizing collective harmony. Over time, however, the Professor adapted by framing problem-solving exercises as collaborative community efforts rather than competitive endeavors. This adaptation proved crucial for maintaining high levels of motivation among students situated in Japan Kyoto.</w:t>
      </w:r>
    </w:p>
    <w:bookmarkEnd w:id="28"/>
    <w:bookmarkStart w:id="29" w:name="logistical-considerations"/>
    <w:p>
      <w:pPr>
        <w:pStyle w:val="Heading3"/>
      </w:pPr>
      <w:r>
        <w:t xml:space="preserve">4.2 Logistical Considerations</w:t>
      </w:r>
    </w:p>
    <w:p>
      <w:pPr>
        <w:pStyle w:val="FirstParagraph"/>
      </w:pPr>
      <w:r>
        <w:t xml:space="preserve">Navigating administrative protocols inherent to institutions located within Japan Kyoto required patience and diplomatic skill on the part of the Professor. Language barriers, though partially mitigated through translation tools, occasionally hindered spontaneous interactions. Nevertheless, these obstacles ultimately strengthened the resilience of teaching strategies employed by the Professor.</w:t>
      </w:r>
    </w:p>
    <w:bookmarkEnd w:id="29"/>
    <w:bookmarkStart w:id="30" w:name="long-term-impact"/>
    <w:p>
      <w:pPr>
        <w:pStyle w:val="Heading3"/>
      </w:pPr>
      <w:r>
        <w:t xml:space="preserve">4.3 Long-Term Impact</w:t>
      </w:r>
    </w:p>
    <w:p>
      <w:pPr>
        <w:pStyle w:val="FirstParagraph"/>
      </w:pPr>
      <w:r>
        <w:t xml:space="preserve">Preliminary feedback suggests that exposure to diverse perspectives offered by an international Professor leaves lasting impressions on students residing in Japan Kyoto. Many reported newfound confidence in pursuing global collaborations after graduation, citing their experiences under the guidance of the Professor as transformative.</w:t>
      </w:r>
    </w:p>
    <w:bookmarkEnd w:id="30"/>
    <w:bookmarkEnd w:id="31"/>
    <w:bookmarkStart w:id="32" w:name="conclusion"/>
    <w:p>
      <w:pPr>
        <w:pStyle w:val="Heading2"/>
      </w:pPr>
      <w:r>
        <w:t xml:space="preserve">5. Conclusion</w:t>
      </w:r>
    </w:p>
    <w:p>
      <w:pPr>
        <w:pStyle w:val="FirstParagraph"/>
      </w:pPr>
      <w:r>
        <w:t xml:space="preserve">This Lab Report underscores the importance of contextual awareness when implementing educational reforms or conducting research abroad. The successful integration of a visiting Professor within Japan Kyoto demonstrates that traditional settings can serve as dynamic laboratories for modern inquiry if approached with sensitivity and flexibility.</w:t>
      </w:r>
    </w:p>
    <w:p>
      <w:pPr>
        <w:pStyle w:val="BodyText"/>
      </w:pPr>
      <w:r>
        <w:t xml:space="preserve">Future studies should expand upon these findings by tracking long-term career trajectories of students who participated in programs led by the Professor across different regions beyond Japan Kyoto. Furthermore, replicating this model in other historically significant locations worldwide could reveal additional insights into effective strategies for blending tradition with innovation.</w:t>
      </w:r>
    </w:p>
    <w:p>
      <w:pPr>
        <w:pStyle w:val="BodyText"/>
      </w:pPr>
      <w:r>
        <w:t xml:space="preserve">In summary, the experience of having a dedicated and adaptable Professor working within the vibrant academic community of Japan Kyoto highlights several universal truths about education: it thrives on curiosity; it flourishes through connection; and its greatest impact often arises from bridging seemingly disparate worlds. As we look ahead, let us continue supporting initiatives like those described herein which enrich our understanding of how knowledge transcends borders while remaining deeply rooted in local soil.</w:t>
      </w:r>
    </w:p>
    <w:p>
      <w:r>
        <w:pict>
          <v:rect style="width:0;height:1.5pt" o:hralign="center" o:hrstd="t" o:hr="t"/>
        </w:pict>
      </w:r>
    </w:p>
    <w:p>
      <w:pPr>
        <w:pStyle w:val="FirstParagraph"/>
      </w:pPr>
      <w:r>
        <w:rPr>
          <w:iCs/>
          <w:i/>
        </w:rPr>
        <w:t xml:space="preserve">Note: All names have been anonymized to protect participant privacy according to ethical guidelines established by international review boards overseeing research activities involving human subjects within Japan Kyoto.</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Research Initiative in Japan Kyoto</dc:title>
  <dc:creator/>
  <dc:language>en</dc:language>
  <cp:keywords/>
  <dcterms:created xsi:type="dcterms:W3CDTF">2026-07-29T19:17:54Z</dcterms:created>
  <dcterms:modified xsi:type="dcterms:W3CDTF">2026-07-29T19:17:54Z</dcterms:modified>
</cp:coreProperties>
</file>

<file path=docProps/custom.xml><?xml version="1.0" encoding="utf-8"?>
<Properties xmlns="http://schemas.openxmlformats.org/officeDocument/2006/custom-properties" xmlns:vt="http://schemas.openxmlformats.org/officeDocument/2006/docPropsVTypes"/>
</file>