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Pedagogical</w:t>
      </w:r>
      <w:r>
        <w:t xml:space="preserve"> </w:t>
      </w:r>
      <w:r>
        <w:t xml:space="preserve">Methodologies</w:t>
      </w:r>
      <w:r>
        <w:t xml:space="preserve"> </w:t>
      </w:r>
      <w:r>
        <w:t xml:space="preserve">and</w:t>
      </w:r>
      <w:r>
        <w:t xml:space="preserve"> </w:t>
      </w:r>
      <w:r>
        <w:t xml:space="preserve">Academic</w:t>
      </w:r>
      <w:r>
        <w:t xml:space="preserve"> </w:t>
      </w:r>
      <w:r>
        <w:t xml:space="preserve">Leadership</w:t>
      </w:r>
      <w:r>
        <w:t xml:space="preserve"> </w:t>
      </w:r>
      <w:r>
        <w:t xml:space="preserve">in</w:t>
      </w:r>
      <w:r>
        <w:t xml:space="preserve"> </w:t>
      </w:r>
      <w:r>
        <w:t xml:space="preserve">Higher</w:t>
      </w:r>
      <w:r>
        <w:t xml:space="preserve"> </w:t>
      </w:r>
      <w:r>
        <w:t xml:space="preserve">Education</w:t>
      </w:r>
    </w:p>
    <w:bookmarkStart w:id="20" w:name="Xad50200301127b084dfe45047c47c9a753b4bdb"/>
    <w:p>
      <w:pPr>
        <w:pStyle w:val="Heading1"/>
      </w:pPr>
      <w:r>
        <w:t xml:space="preserve">Laboratory Report on Academic Leadership and Pedagogical Innovation</w:t>
      </w:r>
    </w:p>
    <w:p>
      <w:pPr>
        <w:pStyle w:val="FirstParagraph"/>
      </w:pPr>
      <w:r>
        <w:rPr>
          <w:bCs/>
          <w:b/>
        </w:rPr>
        <w:t xml:space="preserve">Institution:</w:t>
      </w:r>
      <w:r>
        <w:t xml:space="preserve"> </w:t>
      </w:r>
      <w:r>
        <w:t xml:space="preserve">Research Institute of Educational Sciences</w:t>
      </w:r>
      <w:r>
        <w:br/>
      </w:r>
      <w:r>
        <w:rPr>
          <w:bCs/>
          <w:b/>
        </w:rPr>
        <w:t xml:space="preserve">Date:</w:t>
      </w:r>
      <w:r>
        <w:t xml:space="preserve"> </w:t>
      </w:r>
      <w:r>
        <w:t xml:space="preserve">October 24, 2023</w:t>
      </w:r>
      <w:r>
        <w:br/>
      </w:r>
      <w:r>
        <w:rPr>
          <w:bCs/>
          <w:b/>
        </w:rPr>
        <w:t xml:space="preserve">Subject:</w:t>
      </w:r>
      <w:r>
        <w:t xml:space="preserve"> </w:t>
      </w:r>
      <w:r>
        <w:t xml:space="preserve">The Role of the Professor in Modernizing Education in Kazakhstan Almaty</w:t>
      </w:r>
    </w:p>
    <w:bookmarkEnd w:id="20"/>
    <w:bookmarkStart w:id="21" w:name="X4b1a3557773a555d8ba39b5b3d287a7ec985dab"/>
    <w:p>
      <w:pPr>
        <w:pStyle w:val="Heading3"/>
      </w:pPr>
      <w:r>
        <w:rPr>
          <w:iCs/>
          <w:i/>
        </w:rPr>
        <w:t xml:space="preserve">Please Note: This is a simulated document generated based on your instructions. It does not represent real academic findings or specific individuals.</w:t>
      </w:r>
    </w:p>
    <w:p>
      <w:pPr>
        <w:pStyle w:val="FirstParagraph"/>
      </w:pPr>
      <w:r>
        <w:rPr>
          <w:bCs/>
          <w:b/>
        </w:rPr>
        <w:t xml:space="preserve">Abstract:</w:t>
      </w:r>
      <w:r>
        <w:br/>
      </w:r>
      <w:r>
        <w:t xml:space="preserve">This laboratory report analyzes the evolving role of the university professor within the higher education landscape of Kazakhstan Almaty. As one of the most vibrant educational hubs in Central Asia, Kazakhstan Almaty serves as a critical case study for understanding how academic leadership influences curriculum development, research output, and international collaboration. The report details observational data regarding teaching methodologies used by senior faculty members and evaluates their impact on student engagement and technological integration.</w:t>
      </w:r>
    </w:p>
    <w:bookmarkEnd w:id="21"/>
    <w:bookmarkStart w:id="22" w:name="introduction"/>
    <w:p>
      <w:pPr>
        <w:pStyle w:val="Heading2"/>
      </w:pPr>
      <w:r>
        <w:t xml:space="preserve">1. Introduction</w:t>
      </w:r>
    </w:p>
    <w:p>
      <w:pPr>
        <w:pStyle w:val="FirstParagraph"/>
      </w:pPr>
      <w:r>
        <w:t xml:space="preserve">The tertiary education sector in</w:t>
      </w:r>
      <w:r>
        <w:t xml:space="preserve"> </w:t>
      </w:r>
      <w:r>
        <w:rPr>
          <w:bCs/>
          <w:b/>
        </w:rPr>
        <w:t xml:space="preserve">Kazakhstan Almaty</w:t>
      </w:r>
      <w:r>
        <w:t xml:space="preserve"> </w:t>
      </w:r>
      <w:r>
        <w:t xml:space="preserve">is undergoing a significant transformation driven by government initiatives such as the Bolashak program and broader globalization efforts. At the heart of this change is the figure of the</w:t>
      </w:r>
      <w:r>
        <w:t xml:space="preserve"> </w:t>
      </w:r>
      <w:r>
        <w:rPr>
          <w:bCs/>
          <w:b/>
        </w:rPr>
        <w:t xml:space="preserve">Professor</w:t>
      </w:r>
      <w:r>
        <w:t xml:space="preserve">. Traditionally viewed merely as a transmitter of knowledge, the modern academic leader in this region is expected to be a researcher, an administrator, and an innovator simultaneously.</w:t>
      </w:r>
    </w:p>
    <w:p>
      <w:pPr>
        <w:pStyle w:val="BodyText"/>
      </w:pPr>
      <w:r>
        <w:t xml:space="preserve">This report aims to dissect these multifaceted responsibilities. By observing specific laboratory sessions and lecture halls in major institutions within</w:t>
      </w:r>
      <w:r>
        <w:t xml:space="preserve"> </w:t>
      </w:r>
      <w:r>
        <w:rPr>
          <w:bCs/>
          <w:b/>
        </w:rPr>
        <w:t xml:space="preserve">Kazakhstan Almaty</w:t>
      </w:r>
      <w:r>
        <w:t xml:space="preserve">, we seek to determine how the presence of a dedicated</w:t>
      </w:r>
      <w:r>
        <w:t xml:space="preserve"> </w:t>
      </w:r>
      <w:r>
        <w:rPr>
          <w:bCs/>
          <w:b/>
        </w:rPr>
        <w:t xml:space="preserve">Professor</w:t>
      </w:r>
      <w:r>
        <w:t xml:space="preserve"> </w:t>
      </w:r>
      <w:r>
        <w:t xml:space="preserve">correlates with academic excellence and institutional reputation. The context of</w:t>
      </w:r>
      <w:r>
        <w:t xml:space="preserve"> </w:t>
      </w:r>
      <w:r>
        <w:rPr>
          <w:bCs/>
          <w:b/>
        </w:rPr>
        <w:t xml:space="preserve">Kazakhstan Almaty</w:t>
      </w:r>
      <w:r>
        <w:t xml:space="preserve"> </w:t>
      </w:r>
      <w:r>
        <w:t xml:space="preserve">is unique due to its historical Soviet-era educational foundations mixed with rapid Western-style reforms, creating a dynamic environment for this study.</w:t>
      </w:r>
    </w:p>
    <w:bookmarkEnd w:id="22"/>
    <w:bookmarkStart w:id="23" w:name="methodology-and-observational-framework"/>
    <w:p>
      <w:pPr>
        <w:pStyle w:val="Heading2"/>
      </w:pPr>
      <w:r>
        <w:t xml:space="preserve">2. Methodology and Observational Framework</w:t>
      </w:r>
    </w:p>
    <w:p>
      <w:pPr>
        <w:pStyle w:val="FirstParagraph"/>
      </w:pPr>
      <w:r>
        <w:t xml:space="preserve">The data for this report was collected over a period of three months across three major universities located in</w:t>
      </w:r>
      <w:r>
        <w:t xml:space="preserve"> </w:t>
      </w:r>
      <w:r>
        <w:rPr>
          <w:bCs/>
          <w:b/>
        </w:rPr>
        <w:t xml:space="preserve">Kazakhstan Almaty</w:t>
      </w:r>
      <w:r>
        <w:t xml:space="preserve">. The observation protocol focused on the behavior, preparation, and interaction styles of ten tenured</w:t>
      </w:r>
      <w:r>
        <w:t xml:space="preserve"> </w:t>
      </w:r>
      <w:r>
        <w:rPr>
          <w:bCs/>
          <w:b/>
        </w:rPr>
        <w:t xml:space="preserve">Professor</w:t>
      </w:r>
      <w:r>
        <w:t xml:space="preserve">s. Key metrics included:</w:t>
      </w:r>
    </w:p>
    <w:p>
      <w:pPr>
        <w:numPr>
          <w:ilvl w:val="0"/>
          <w:numId w:val="1001"/>
        </w:numPr>
        <w:pStyle w:val="Compact"/>
      </w:pPr>
      <w:r>
        <w:rPr>
          <w:bCs/>
          <w:b/>
        </w:rPr>
        <w:t xml:space="preserve">Digital Literacy:</w:t>
      </w:r>
      <w:r>
        <w:t xml:space="preserve"> </w:t>
      </w:r>
      <w:r>
        <w:t xml:space="preserve">The extent to which the professor utilizes digital tools in lectures.</w:t>
      </w:r>
    </w:p>
    <w:p>
      <w:pPr>
        <w:numPr>
          <w:ilvl w:val="0"/>
          <w:numId w:val="1001"/>
        </w:numPr>
        <w:pStyle w:val="Compact"/>
      </w:pPr>
      <w:r>
        <w:rPr>
          <w:bCs/>
          <w:b/>
        </w:rPr>
        <w:t xml:space="preserve">Critical Thinking Induction:</w:t>
      </w:r>
      <w:r>
        <w:t xml:space="preserve"> </w:t>
      </w:r>
      <w:r>
        <w:t xml:space="preserve">The frequency of open-ended questions posed to students.</w:t>
      </w:r>
    </w:p>
    <w:p>
      <w:pPr>
        <w:numPr>
          <w:ilvl w:val="0"/>
          <w:numId w:val="1001"/>
        </w:numPr>
        <w:pStyle w:val="Compact"/>
      </w:pPr>
      <w:r>
        <w:rPr>
          <w:iCs/>
          <w:i/>
        </w:rPr>
        <w:t xml:space="preserve">The Local Context: How well the professor integrates local Kazakhstani case studies into global theories, specifically relevant to the region of Kazakhstan Almaty.</w:t>
      </w:r>
    </w:p>
    <w:bookmarkEnd w:id="23"/>
    <w:bookmarkStart w:id="26" w:name="Xaa55522673d121b50b2dc9085a557eafdce1897"/>
    <w:p>
      <w:pPr>
        <w:pStyle w:val="Heading2"/>
      </w:pPr>
      <w:r>
        <w:t xml:space="preserve">3. Results: The Profile of the Modern Professor</w:t>
      </w:r>
    </w:p>
    <w:bookmarkStart w:id="24" w:name="integration-of-technology-and-tradition"/>
    <w:p>
      <w:pPr>
        <w:pStyle w:val="Heading3"/>
      </w:pPr>
      <w:r>
        <w:t xml:space="preserve">3.1 Integration of Technology and Tradition</w:t>
      </w:r>
    </w:p>
    <w:p>
      <w:pPr>
        <w:pStyle w:val="FirstParagraph"/>
      </w:pPr>
      <w:r>
        <w:t xml:space="preserve">Institutions in</w:t>
      </w:r>
      <w:r>
        <w:t xml:space="preserve"> </w:t>
      </w:r>
      <w:r>
        <w:rPr>
          <w:bCs/>
          <w:b/>
        </w:rPr>
        <w:t xml:space="preserve">Kazakhstan Almaty</w:t>
      </w:r>
      <w:r>
        <w:rPr>
          <w:iCs/>
          <w:i/>
          <w:iCs/>
          <w:i/>
        </w:rPr>
        <w:t xml:space="preserve">" are witnessing a shift where the traditional chalk-and-talk method is being replaced by hybrid learning models. The data indicates that professors who actively incorporate online platforms report 25% higher student engagement rates. However, the role of the professor remains central; technology serves as a tool for their pedagogical delivery rather than a replacement for human interaction.</w:t>
      </w:r>
    </w:p>
    <w:bookmarkEnd w:id="24"/>
    <w:bookmarkStart w:id="25" w:name="research-leadership"/>
    <w:p>
      <w:pPr>
        <w:pStyle w:val="Heading3"/>
      </w:pPr>
      <w:r>
        <w:t xml:space="preserve">3.2 Research Leadership</w:t>
      </w:r>
    </w:p>
    <w:p>
      <w:pPr>
        <w:pStyle w:val="FirstParagraph"/>
      </w:pPr>
      <w:r>
        <w:t xml:space="preserve">A significant finding in this</w:t>
      </w:r>
      <w:r>
        <w:t xml:space="preserve"> </w:t>
      </w:r>
      <w:r>
        <w:rPr>
          <w:bCs/>
          <w:b/>
        </w:rPr>
        <w:t xml:space="preserve">Laboratory Report</w:t>
      </w:r>
      <w:r>
        <w:rPr>
          <w:iCs/>
          <w:i/>
          <w:iCs/>
          <w:i/>
        </w:rPr>
        <w:t xml:space="preserve">" is the correlation between the research output of the professor and student motivation. Professors in Kazakhstan Almaty who are actively publishing in international journals tend to inspire their students to pursue similar academic rigor. The "Kazakhstan Almaty" academic cluster has become a focal point for Central Asian research, largely due to these influential faculty members.</w:t>
      </w:r>
    </w:p>
    <w:bookmarkEnd w:id="25"/>
    <w:bookmarkEnd w:id="26"/>
    <w:bookmarkStart w:id="27" w:name="discussion"/>
    <w:p>
      <w:pPr>
        <w:pStyle w:val="Heading2"/>
      </w:pPr>
      <w:r>
        <w:t xml:space="preserve">4. Discussion</w:t>
      </w:r>
    </w:p>
    <w:p>
      <w:pPr>
        <w:pStyle w:val="FirstParagraph"/>
      </w:pPr>
      <w:r>
        <w:t xml:space="preserve">The analysis reveals that the</w:t>
      </w:r>
      <w:r>
        <w:t xml:space="preserve"> </w:t>
      </w:r>
      <w:r>
        <w:rPr>
          <w:bCs/>
          <w:b/>
        </w:rPr>
        <w:t xml:space="preserve">Professor</w:t>
      </w:r>
    </w:p>
    <w:p>
      <w:pPr>
        <w:pStyle w:val="BodyText"/>
      </w:pPr>
      <w:r>
        <w:rPr>
          <w:iCs/>
          <w:i/>
        </w:rPr>
        <w:t xml:space="preserve">" in Kazakhstan Almaty is not just an educator but a bridge between local cultural nuances and global academic standards. The specific challenges faced by educators in Kazakhstan Almaty include language barriers (transitioning to English-medium instruction) and infrastructure updates.</w:t>
      </w:r>
    </w:p>
    <w:p>
      <w:pPr>
        <w:pStyle w:val="BodyText"/>
      </w:pPr>
      <w:r>
        <w:t xml:space="preserve">Furthermore, the</w:t>
      </w:r>
      <w:r>
        <w:t xml:space="preserve"> </w:t>
      </w:r>
      <w:r>
        <w:rPr>
          <w:bCs/>
          <w:b/>
        </w:rPr>
        <w:t xml:space="preserve">Laboratory Report</w:t>
      </w:r>
    </w:p>
    <w:p>
      <w:pPr>
        <w:pStyle w:val="BodyText"/>
      </w:pPr>
      <w:r>
        <w:rPr>
          <w:iCs/>
          <w:i/>
        </w:rPr>
        <w:t xml:space="preserve">" highlights that successful professors in this region are those who adapt their teaching styles to fit the diverse needs of students from various regions of Kazakhstan. The vibrant intellectual atmosphere of Kazakhstan Almaty allows for cross-pollination of ideas, which is facilitated by proactive department heads and senior professors.</w:t>
      </w:r>
    </w:p>
    <w:bookmarkEnd w:id="27"/>
    <w:bookmarkStart w:id="28" w:name="conclusion"/>
    <w:p>
      <w:pPr>
        <w:pStyle w:val="Heading2"/>
      </w:pPr>
      <w:r>
        <w:t xml:space="preserve">5. Conclusion</w:t>
      </w:r>
    </w:p>
    <w:p>
      <w:pPr>
        <w:pStyle w:val="FirstParagraph"/>
      </w:pPr>
      <w:r>
        <w:t xml:space="preserve">In conclusion, this</w:t>
      </w:r>
      <w:r>
        <w:t xml:space="preserve"> </w:t>
      </w:r>
      <w:r>
        <w:rPr>
          <w:bCs/>
          <w:b/>
        </w:rPr>
        <w:t xml:space="preserve">Laboratory Report</w:t>
      </w:r>
    </w:p>
    <w:p>
      <w:pPr>
        <w:pStyle w:val="BodyText"/>
      </w:pPr>
      <w:r>
        <w:rPr>
          <w:iCs/>
          <w:i/>
        </w:rPr>
        <w:t xml:space="preserve">" underscores the pivotal role of the professor in shaping the future of education in Kazakhstan Almaty. The data suggests that investment in faculty development yields direct benefits for institutional prestige and student outcomes. As Kazakhstan Almaty continues to position itself as a regional leader in science and humanities, the support and empowerment of its academic leaders remain paramount.</w:t>
      </w:r>
    </w:p>
    <w:bookmarkEnd w:id="28"/>
    <w:bookmarkStart w:id="29" w:name="references"/>
    <w:p>
      <w:pPr>
        <w:pStyle w:val="Heading2"/>
      </w:pPr>
      <w:r>
        <w:t xml:space="preserve">6. References</w:t>
      </w:r>
    </w:p>
    <w:p>
      <w:pPr>
        <w:pStyle w:val="FirstParagraph"/>
      </w:pPr>
      <w:r>
        <w:rPr>
          <w:iCs/>
          <w:i/>
        </w:rPr>
        <w:t xml:space="preserve">Note: The following references are hypothetical placeholders for the purpose of this simulated document format.</w:t>
      </w:r>
    </w:p>
    <w:p>
      <w:pPr>
        <w:numPr>
          <w:ilvl w:val="0"/>
          <w:numId w:val="1002"/>
        </w:numPr>
        <w:pStyle w:val="Compact"/>
      </w:pPr>
      <w:r>
        <w:t xml:space="preserve">Institute of Educational Sciences. (2023).</w:t>
      </w:r>
      <w:r>
        <w:t xml:space="preserve"> </w:t>
      </w:r>
      <w:r>
        <w:rPr>
          <w:bCs/>
          <w:b/>
        </w:rPr>
        <w:t xml:space="preserve">Laboratory Report</w:t>
      </w:r>
      <w:r>
        <w:t xml:space="preserve">: Trends in Higher Education Pedagogy.</w:t>
      </w:r>
    </w:p>
    <w:p>
      <w:pPr>
        <w:numPr>
          <w:ilvl w:val="0"/>
          <w:numId w:val="1002"/>
        </w:numPr>
        <w:pStyle w:val="Compact"/>
      </w:pPr>
      <w:r>
        <w:t xml:space="preserve">Ahmetov, K. &amp; Smith, J. (2022). The Role of the</w:t>
      </w:r>
      <w:r>
        <w:t xml:space="preserve"> </w:t>
      </w:r>
      <w:r>
        <w:rPr>
          <w:bCs/>
          <w:b/>
        </w:rPr>
        <w:t xml:space="preserve">Professor</w:t>
      </w:r>
      <w:r>
        <w:t xml:space="preserve"> </w:t>
      </w:r>
      <w:r>
        <w:t xml:space="preserve">in Post-Soviet Educational Reform.</w:t>
      </w:r>
    </w:p>
    <w:p>
      <w:pPr>
        <w:numPr>
          <w:ilvl w:val="0"/>
          <w:numId w:val="1002"/>
        </w:numPr>
        <w:pStyle w:val="Compact"/>
      </w:pPr>
      <w:r>
        <w:t xml:space="preserve">Kazakhstan Almaty University Review. (2023). "Academic Leadership in Central Asia." Vol 14, Issue 3.</w:t>
      </w:r>
    </w:p>
    <w:p>
      <w:pPr>
        <w:numPr>
          <w:ilvl w:val="0"/>
          <w:numId w:val="1002"/>
        </w:numPr>
        <w:pStyle w:val="Compact"/>
      </w:pPr>
      <w:r>
        <w:t xml:space="preserve">National Research Laboratory of Kazakhstan. (2021). Data on Faculty Engagement in</w:t>
      </w:r>
      <w:r>
        <w:t xml:space="preserve"> </w:t>
      </w:r>
      <w:r>
        <w:rPr>
          <w:bCs/>
          <w:b/>
        </w:rPr>
        <w:t xml:space="preserve">Kazakhstan Almaty</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Pedagogical Methodologies and Academic Leadership in Higher Education</dc:title>
  <dc:creator/>
  <cp:keywords/>
  <dcterms:created xsi:type="dcterms:W3CDTF">2026-07-29T08:58:33Z</dcterms:created>
  <dcterms:modified xsi:type="dcterms:W3CDTF">2026-07-29T08:58:33Z</dcterms:modified>
</cp:coreProperties>
</file>

<file path=docProps/custom.xml><?xml version="1.0" encoding="utf-8"?>
<Properties xmlns="http://schemas.openxmlformats.org/officeDocument/2006/custom-properties" xmlns:vt="http://schemas.openxmlformats.org/officeDocument/2006/docPropsVTypes"/>
</file>