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Academic</w:t>
      </w:r>
      <w:r>
        <w:t xml:space="preserve"> </w:t>
      </w:r>
      <w:r>
        <w:t xml:space="preserve">Assessment</w:t>
      </w:r>
      <w:r>
        <w:t xml:space="preserve"> </w:t>
      </w:r>
      <w:r>
        <w:t xml:space="preserve">of</w:t>
      </w:r>
      <w:r>
        <w:t xml:space="preserve"> </w:t>
      </w:r>
      <w:r>
        <w:t xml:space="preserve">Professorial</w:t>
      </w:r>
      <w:r>
        <w:t xml:space="preserve"> </w:t>
      </w:r>
      <w:r>
        <w:t xml:space="preserve">Standards</w:t>
      </w:r>
      <w:r>
        <w:t xml:space="preserve"> </w:t>
      </w:r>
      <w:r>
        <w:t xml:space="preserve">in</w:t>
      </w:r>
      <w:r>
        <w:t xml:space="preserve"> </w:t>
      </w:r>
      <w:r>
        <w:t xml:space="preserve">Auckland,</w:t>
      </w:r>
      <w:r>
        <w:t xml:space="preserve"> </w:t>
      </w:r>
      <w:r>
        <w:t xml:space="preserve">New</w:t>
      </w:r>
      <w:r>
        <w:t xml:space="preserve"> </w:t>
      </w:r>
      <w:r>
        <w:t xml:space="preserve">Zealand</w:t>
      </w:r>
    </w:p>
    <w:bookmarkStart w:id="31" w:name="Xdf3cf3a05c47ef384fb00687dbcfb6fe70cbc35"/>
    <w:p>
      <w:pPr>
        <w:pStyle w:val="Heading1"/>
      </w:pPr>
      <w:r>
        <w:t xml:space="preserve">Laboratory Report on Professorial Methodologies and Institutional Integration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Academic Review, University of Auckland</w:t>
      </w:r>
      <w:r>
        <w:br/>
      </w:r>
      <w:r>
        <w:rPr>
          <w:bCs/>
          <w:b/>
        </w:rPr>
        <w:t xml:space="preserve">From:</w:t>
      </w:r>
      <w:r>
        <w:t xml:space="preserve"> </w:t>
      </w:r>
      <w:r>
        <w:t xml:space="preserve">Independent Research Committee</w:t>
      </w:r>
      <w:r>
        <w:br/>
      </w:r>
      <w:r>
        <w:rPr>
          <w:bCs/>
          <w:b/>
        </w:rPr>
        <w:t xml:space="preserve">Subject:</w:t>
      </w:r>
      <w:r>
        <w:t xml:space="preserve">A comprehensive evaluation of the role, responsibilities, and scientific output associated with a Professor in New Zealand Auckland.</w:t>
      </w:r>
    </w:p>
    <w:bookmarkStart w:id="20" w:name="abstract"/>
    <w:p>
      <w:pPr>
        <w:pStyle w:val="Heading3"/>
      </w:pPr>
      <w:r>
        <w:t xml:space="preserve">Abstract</w:t>
      </w:r>
    </w:p>
    <w:p>
      <w:pPr>
        <w:pStyle w:val="FirstParagraph"/>
      </w:pPr>
      <w:r>
        <w:t xml:space="preserve">This report provides a rigorous analysis of the academic ecosystem surrounding the position of "Professor" within the specific geographical and institutional context of New Zealand Auckland. By treating academic excellence as a measurable variable, this laboratory-style report examines how Professorial duties intersect with local research mandates, cultural obligations to Māori stakeholders (Te Tiriti o Waitangi), and global scientific standards. The findings suggest that the modern Professor in New Zealand Auckland serves not merely as an educator, but as a critical node in the national innovation network.</w:t>
      </w:r>
    </w:p>
    <w:bookmarkEnd w:id="20"/>
    <w:bookmarkStart w:id="21" w:name="introduction"/>
    <w:p>
      <w:pPr>
        <w:pStyle w:val="Heading2"/>
      </w:pPr>
      <w:r>
        <w:t xml:space="preserve">1. Introduction</w:t>
      </w:r>
    </w:p>
    <w:p>
      <w:pPr>
        <w:pStyle w:val="FirstParagraph"/>
      </w:pPr>
      <w:r>
        <w:t xml:space="preserve">The objective of this investigation is to dissect the multifaceted role of a</w:t>
      </w:r>
      <w:r>
        <w:t xml:space="preserve"> </w:t>
      </w:r>
      <w:r>
        <w:rPr>
          <w:bCs/>
          <w:b/>
        </w:rPr>
        <w:t xml:space="preserve">Professor</w:t>
      </w:r>
      <w:r>
        <w:t xml:space="preserve">. In contemporary higher education, particularly within the competitive landscape of</w:t>
      </w:r>
      <w:r>
        <w:t xml:space="preserve"> </w:t>
      </w:r>
      <w:r>
        <w:rPr>
          <w:bCs/>
          <w:b/>
        </w:rPr>
        <w:t xml:space="preserve">New Zealand Auckland</w:t>
      </w:r>
      <w:r>
        <w:t xml:space="preserve">, the title "Professor" denotes the highest rank in academia. However, this designation carries weight beyond mere prestige; it represents a convergence of pedagogical authority, research leadership, and administrative stewardship. This report aims to elucidate these dimensions through a structured analytical framework.</w:t>
      </w:r>
    </w:p>
    <w:p>
      <w:pPr>
        <w:pStyle w:val="BodyText"/>
      </w:pPr>
      <w:r>
        <w:t xml:space="preserve">Auckland serves as the economic and cultural hub of New Zealand. Consequently, universities located here are under intense pressure to deliver tangible societal impacts. Therefore, understanding how a</w:t>
      </w:r>
      <w:r>
        <w:t xml:space="preserve"> </w:t>
      </w:r>
      <w:r>
        <w:rPr>
          <w:bCs/>
          <w:b/>
        </w:rPr>
        <w:t xml:space="preserve">Professor</w:t>
      </w:r>
      <w:r>
        <w:t xml:space="preserve"> </w:t>
      </w:r>
      <w:r>
        <w:t xml:space="preserve">navigates this environment is crucial for stakeholders ranging from university administrators to government funding bodies. The hypothesis posits that the effectiveness of a</w:t>
      </w:r>
      <w:r>
        <w:t xml:space="preserve"> </w:t>
      </w:r>
      <w:r>
        <w:rPr>
          <w:bCs/>
          <w:b/>
        </w:rPr>
        <w:t xml:space="preserve">Professor</w:t>
      </w:r>
      <w:r>
        <w:t xml:space="preserve"> </w:t>
      </w:r>
      <w:r>
        <w:t xml:space="preserve">in</w:t>
      </w:r>
      <w:r>
        <w:t xml:space="preserve"> </w:t>
      </w:r>
      <w:r>
        <w:rPr>
          <w:bCs/>
          <w:b/>
        </w:rPr>
        <w:t xml:space="preserve">New Zealand Auckland</w:t>
      </w:r>
      <w:r>
        <w:t xml:space="preserve"> </w:t>
      </w:r>
      <w:r>
        <w:t xml:space="preserve">is directly correlated with their ability to balance international research visibility with local community engagement.</w:t>
      </w:r>
    </w:p>
    <w:bookmarkEnd w:id="21"/>
    <w:bookmarkStart w:id="22" w:name="auckland"/>
    <w:p>
      <w:pPr>
        <w:pStyle w:val="Heading2"/>
      </w:pPr>
      <w:r>
        <w:rPr>
          <w:u w:val="single"/>
        </w:rPr>
        <w:t xml:space="preserve">Auckland</w:t>
      </w:r>
    </w:p>
    <w:p>
      <w:pPr>
        <w:pStyle w:val="FirstParagraph"/>
      </w:pPr>
      <w:r>
        <w:t xml:space="preserve">&gt;</w:t>
      </w:r>
    </w:p>
    <w:p>
      <w:pPr>
        <w:pStyle w:val="BodyText"/>
      </w:pPr>
      <w:r>
        <w:t xml:space="preserve">The geographical and cultural context of</w:t>
      </w:r>
      <w:r>
        <w:t xml:space="preserve"> </w:t>
      </w:r>
      <w:r>
        <w:rPr>
          <w:bCs/>
          <w:b/>
        </w:rPr>
        <w:t xml:space="preserve">New Zealand Auckland</w:t>
      </w:r>
      <w:r>
        <w:t xml:space="preserve"> </w:t>
      </w:r>
      <w:r>
        <w:t xml:space="preserve">cannot be overstated when evaluating academic performance. Unlike other global cities, Auckland operates within a bicultural framework mandated by the Treaty of Waitangi. For any</w:t>
      </w:r>
      <w:r>
        <w:t xml:space="preserve"> </w:t>
      </w:r>
      <w:r>
        <w:rPr>
          <w:bCs/>
          <w:b/>
        </w:rPr>
        <w:t xml:space="preserve">Professor</w:t>
      </w:r>
      <w:r>
        <w:t xml:space="preserve">, this means that research must not only be scientifically robust but also culturally responsive.</w:t>
      </w:r>
    </w:p>
    <w:p>
      <w:pPr>
        <w:pStyle w:val="BodyText"/>
      </w:pPr>
      <w:r>
        <w:rPr>
          <w:bCs/>
          <w:b/>
        </w:rPr>
        <w:t xml:space="preserve">Auckland</w:t>
      </w:r>
      <w:r>
        <w:t xml:space="preserve"> </w:t>
      </w:r>
      <w:r>
        <w:t xml:space="preserve">is home to major institutions such as the University of Auckland and AUT (Auckland University of Technology). These institutions function as laboratories for social change as much as they do for pure science. The environment in</w:t>
      </w:r>
      <w:r>
        <w:t xml:space="preserve"> </w:t>
      </w:r>
      <w:r>
        <w:rPr>
          <w:bCs/>
          <w:b/>
        </w:rPr>
        <w:t xml:space="preserve">New Zealand Auckland</w:t>
      </w:r>
      <w:r>
        <w:t xml:space="preserve"> </w:t>
      </w:r>
      <w:r>
        <w:t xml:space="preserve">demands that a</w:t>
      </w:r>
    </w:p>
    <w:p>
      <w:pPr>
        <w:pStyle w:val="BodyText"/>
      </w:pPr>
      <w:r>
        <w:t xml:space="preserve">Professor engage with diverse populations, including significant Māori and Pasifika communities. Failure to integrate these perspectives into curriculum design or research methodologies is viewed not just as a pedagogical shortfall, but as a breach of professional ethics within the region.</w:t>
      </w:r>
    </w:p>
    <w:bookmarkEnd w:id="22"/>
    <w:bookmarkStart w:id="23" w:name="methodology"/>
    <w:p>
      <w:pPr>
        <w:pStyle w:val="Heading2"/>
      </w:pPr>
      <w:r>
        <w:rPr>
          <w:u w:val="single"/>
        </w:rPr>
        <w:t xml:space="preserve">METHODOLOGY</w:t>
      </w:r>
    </w:p>
    <w:p>
      <w:pPr>
        <w:pStyle w:val="FirstParagraph"/>
      </w:pPr>
      <w:r>
        <w:t xml:space="preserve">&gt;</w:t>
      </w:r>
    </w:p>
    <w:p>
      <w:pPr>
        <w:pStyle w:val="BodyText"/>
      </w:pPr>
      <w:r>
        <w:t xml:space="preserve">This report utilizes a qualitative case study approach, reviewing institutional policies, publication metrics, and community partnership outcomes. The data was sourced from public records of major Auckland universities and cross-referenced with national education standards set by the Tertiary Education Commission (TEC) in</w:t>
      </w:r>
      <w:r>
        <w:t xml:space="preserve"> </w:t>
      </w:r>
      <w:r>
        <w:rPr>
          <w:bCs/>
          <w:b/>
        </w:rPr>
        <w:t xml:space="preserve">New Zealand</w:t>
      </w:r>
      <w:r>
        <w:t xml:space="preserve">.</w:t>
      </w:r>
    </w:p>
    <w:p>
      <w:pPr>
        <w:pStyle w:val="BodyText"/>
      </w:pPr>
      <w:r>
        <w:t xml:space="preserve">Variable</w:t>
      </w:r>
    </w:p>
    <w:p>
      <w:pPr>
        <w:pStyle w:val="BodyText"/>
      </w:pPr>
      <w:r>
        <w:t xml:space="preserve">Description</w:t>
      </w:r>
    </w:p>
    <w:p>
      <w:pPr>
        <w:pStyle w:val="BodyText"/>
      </w:pPr>
      <w:r>
        <w:t xml:space="preserve">&gt;</w:t>
      </w:r>
    </w:p>
    <w:p>
      <w:pPr>
        <w:pStyle w:val="BodyText"/>
      </w:pPr>
      <w:r>
        <w:t xml:space="preserve">Metric of Success for a Professor in Auckland</w:t>
      </w:r>
    </w:p>
    <w:p>
      <w:pPr>
        <w:pStyle w:val="BodyText"/>
      </w:pPr>
      <w:r>
        <w:t xml:space="preserve">&gt;</w:t>
      </w:r>
    </w:p>
    <w:p>
      <w:pPr>
        <w:pStyle w:val="BodyText"/>
      </w:pPr>
      <w:r>
        <w:t xml:space="preserve">&gt;</w:t>
      </w:r>
    </w:p>
    <w:p>
      <w:pPr>
        <w:pStyle w:val="BodyText"/>
      </w:pPr>
      <w:r>
        <w:t xml:space="preserve">&gt;</w:t>
      </w:r>
      <w:r>
        <w:t xml:space="preserve"> </w:t>
      </w:r>
      <w:r>
        <w:t xml:space="preserve">td&gt;</w:t>
      </w:r>
      <w:r>
        <w:rPr>
          <w:bCs/>
          <w:b/>
        </w:rPr>
        <w:t xml:space="preserve">Research Output</w:t>
      </w:r>
      <w:r>
        <w:rPr>
          <w:bCs/>
          <w:b/>
          <w:bCs/>
          <w:b/>
        </w:rPr>
        <w:t xml:space="preserve">/td&amp; gt;</w:t>
      </w:r>
    </w:p>
    <w:p>
      <w:pPr>
        <w:pStyle w:val="BodyText"/>
      </w:pPr>
      <w:r>
        <w:t xml:space="preserve">Published papers, grants secured</w:t>
      </w:r>
    </w:p>
    <w:p>
      <w:pPr>
        <w:pStyle w:val="BodyText"/>
      </w:pPr>
      <w:r>
        <w:t xml:space="preserve">&amp; gt;High Impact Factor Journals; Government Policy Influence/td&amp; gt;&amp; lt;/ tb ody &gt;</w:t>
      </w:r>
    </w:p>
    <w:bookmarkEnd w:id="23"/>
    <w:bookmarkStart w:id="27" w:name="results-and-analysis"/>
    <w:p>
      <w:pPr>
        <w:pStyle w:val="Heading2"/>
      </w:pPr>
      <w:r>
        <w:t xml:space="preserve">4. Results and Analysis</w:t>
      </w:r>
    </w:p>
    <w:p>
      <w:pPr>
        <w:pStyle w:val="FirstParagraph"/>
      </w:pPr>
      <w:r>
        <w:t xml:space="preserve">The analysis reveals three primary pillars of Professorial duty in</w:t>
      </w:r>
      <w:r>
        <w:t xml:space="preserve"> </w:t>
      </w:r>
      <w:r>
        <w:rPr>
          <w:bCs/>
          <w:b/>
        </w:rPr>
        <w:t xml:space="preserve">New Zealand Auckland</w:t>
      </w:r>
      <w:r>
        <w:t xml:space="preserve">.</w:t>
      </w:r>
    </w:p>
    <w:p>
      <w:pPr>
        <w:pStyle w:val="BodyText"/>
      </w:pPr>
      <w:r>
        <w:t xml:space="preserve">&gt;</w:t>
      </w:r>
    </w:p>
    <w:bookmarkStart w:id="24" w:name="research-leadership-and-innovation"/>
    <w:p>
      <w:pPr>
        <w:pStyle w:val="Heading3"/>
      </w:pPr>
      <w:r>
        <w:t xml:space="preserve">4.1 Research Leadership and Innovation</w:t>
      </w:r>
    </w:p>
    <w:p>
      <w:pPr>
        <w:pStyle w:val="FirstParagraph"/>
      </w:pPr>
      <w:r>
        <w:t xml:space="preserve">&gt;</w:t>
      </w:r>
    </w:p>
    <w:p>
      <w:pPr>
        <w:pStyle w:val="BodyText"/>
      </w:pPr>
      <w:r>
        <w:t xml:space="preserve">In the context of</w:t>
      </w:r>
    </w:p>
    <w:p>
      <w:pPr>
        <w:pStyle w:val="BodyText"/>
      </w:pPr>
      <w:r>
        <w:t xml:space="preserve">New Zealand Auckland, a</w:t>
      </w:r>
    </w:p>
    <w:p>
      <w:pPr>
        <w:pStyle w:val="BodyText"/>
      </w:pPr>
      <w:r>
        <w:t xml:space="preserve">Professor is expected to lead interdisciplinary teams. The unique challenges faced by the region—such as seismic stability, water quality management in the Hauraki Gulf, and urban transport logistics—require scientific solutions. A successful</w:t>
      </w:r>
    </w:p>
    <w:p>
      <w:pPr>
        <w:pStyle w:val="BodyText"/>
      </w:pPr>
      <w:r>
        <w:t xml:space="preserve">Professor leverages these local issues to secure international funding while providing practical solutions for</w:t>
      </w:r>
    </w:p>
    <w:p>
      <w:pPr>
        <w:pStyle w:val="BodyText"/>
      </w:pPr>
      <w:r>
        <w:t xml:space="preserve">New Zealand Auckland. This dual focus ensures that academic research remains grounded in reality rather than remaining purely theoretical.</w:t>
      </w:r>
    </w:p>
    <w:p>
      <w:pPr>
        <w:pStyle w:val="BodyText"/>
      </w:pPr>
      <w:r>
        <w:t xml:space="preserve">&gt;</w:t>
      </w:r>
    </w:p>
    <w:bookmarkEnd w:id="24"/>
    <w:bookmarkStart w:id="25" w:name="X4611a83021b6ea9f7ad9f1d68db9b3900abb2ad"/>
    <w:p>
      <w:pPr>
        <w:pStyle w:val="Heading3"/>
      </w:pPr>
      <w:r>
        <w:t xml:space="preserve">4.2 Cultural Competency and Te Tiriti o Waitangi</w:t>
      </w:r>
    </w:p>
    <w:p>
      <w:pPr>
        <w:pStyle w:val="FirstParagraph"/>
      </w:pPr>
      <w:r>
        <w:t xml:space="preserve">&gt;</w:t>
      </w:r>
    </w:p>
    <w:p>
      <w:pPr>
        <w:pStyle w:val="BodyText"/>
      </w:pPr>
      <w:r>
        <w:t xml:space="preserve">A distinct characteristic of being a</w:t>
      </w:r>
    </w:p>
    <w:p>
      <w:pPr>
        <w:pStyle w:val="BodyText"/>
      </w:pPr>
      <w:r>
        <w:t xml:space="preserve">Professor in</w:t>
      </w:r>
    </w:p>
    <w:p>
      <w:pPr>
        <w:pStyle w:val="BodyText"/>
      </w:pPr>
      <w:r>
        <w:t xml:space="preserve">New Zealand Auckland is the obligation to uphold the principles of the Treaty of Waitangi. This involves partnering with Māori iwi (tribes) in research projects and ensuring that indigenous knowledge systems are respected and integrated where appropriate. Data indicates that institutions in</w:t>
      </w:r>
    </w:p>
    <w:p>
      <w:pPr>
        <w:pStyle w:val="BodyText"/>
      </w:pPr>
      <w:r>
        <w:t xml:space="preserve">New Zealand Auckland that actively support</w:t>
      </w:r>
    </w:p>
    <w:p>
      <w:pPr>
        <w:pStyle w:val="BodyText"/>
      </w:pPr>
      <w:r>
        <w:t xml:space="preserve">Professors in developing culturally safe environments see higher student retention rates and more successful community outreach programs.</w:t>
      </w:r>
    </w:p>
    <w:p>
      <w:pPr>
        <w:pStyle w:val="BodyText"/>
      </w:pPr>
      <w:r>
        <w:t xml:space="preserve">&gt;</w:t>
      </w:r>
    </w:p>
    <w:bookmarkEnd w:id="25"/>
    <w:bookmarkStart w:id="26" w:name="pedagogical-excellence"/>
    <w:p>
      <w:pPr>
        <w:pStyle w:val="Heading3"/>
      </w:pPr>
      <w:r>
        <w:t xml:space="preserve">4.3 Pedagogical Excellence</w:t>
      </w:r>
    </w:p>
    <w:p>
      <w:pPr>
        <w:pStyle w:val="FirstParagraph"/>
      </w:pPr>
      <w:r>
        <w:t xml:space="preserve">&gt;</w:t>
      </w:r>
    </w:p>
    <w:p>
      <w:pPr>
        <w:pStyle w:val="BodyText"/>
      </w:pPr>
      <w:r>
        <w:t xml:space="preserve">The role of the</w:t>
      </w:r>
    </w:p>
    <w:p>
      <w:pPr>
        <w:pStyle w:val="BodyText"/>
      </w:pPr>
      <w:r>
        <w:t xml:space="preserve">Professor extends to mentoring postgraduate students who will eventually form the future workforce of</w:t>
      </w:r>
    </w:p>
    <w:p>
      <w:pPr>
        <w:pStyle w:val="BodyText"/>
      </w:pPr>
      <w:r>
        <w:t xml:space="preserve">New Zealand Auckland. The report highlights that effective</w:t>
      </w:r>
    </w:p>
    <w:p>
      <w:pPr>
        <w:pStyle w:val="BodyText"/>
      </w:pPr>
      <w:r>
        <w:t xml:space="preserve">Professor in this region emphasize critical thinking and adaptability, skills that are highly valued by employers in the Auckland metropolitan area. The curriculum delivered by a</w:t>
      </w:r>
    </w:p>
    <w:p>
      <w:pPr>
        <w:pStyle w:val="BodyText"/>
      </w:pPr>
      <w:r>
        <w:t xml:space="preserve">Professor must reflect the dynamic nature of the city’s economy, particularly in sectors such as biotechnology, digital media, and finance.</w:t>
      </w:r>
    </w:p>
    <w:p>
      <w:pPr>
        <w:pStyle w:val="BodyText"/>
      </w:pPr>
      <w:r>
        <w:t xml:space="preserve">&gt;</w:t>
      </w:r>
    </w:p>
    <w:bookmarkEnd w:id="26"/>
    <w:bookmarkEnd w:id="27"/>
    <w:bookmarkStart w:id="28" w:name="discussion"/>
    <w:p>
      <w:pPr>
        <w:pStyle w:val="Heading2"/>
      </w:pPr>
      <w:r>
        <w:t xml:space="preserve">5. Discussion</w:t>
      </w:r>
    </w:p>
    <w:p>
      <w:pPr>
        <w:pStyle w:val="FirstParagraph"/>
      </w:pPr>
      <w:r>
        <w:t xml:space="preserve">&gt;</w:t>
      </w:r>
    </w:p>
    <w:p>
      <w:pPr>
        <w:pStyle w:val="BodyText"/>
      </w:pPr>
      <w:r>
        <w:t xml:space="preserve">The findings suggest that the title of</w:t>
      </w:r>
    </w:p>
    <w:p>
      <w:pPr>
        <w:pStyle w:val="BodyText"/>
      </w:pPr>
      <w:r>
        <w:t xml:space="preserve">Professor is not static. In</w:t>
      </w:r>
    </w:p>
    <w:p>
      <w:pPr>
        <w:pStyle w:val="BodyText"/>
      </w:pPr>
      <w:r>
        <w:t xml:space="preserve">New Zealand Auckland, it is a dynamic role that evolves with societal needs. The isolation of New Zealand as an island nation often compels academics to look outward for collaboration, making the international network-building capacity of a</w:t>
      </w:r>
    </w:p>
    <w:p>
      <w:pPr>
        <w:pStyle w:val="BodyText"/>
      </w:pPr>
      <w:r>
        <w:t xml:space="preserve">Professor crucial.</w:t>
      </w:r>
    </w:p>
    <w:p>
      <w:pPr>
        <w:pStyle w:val="BodyText"/>
      </w:pPr>
      <w:r>
        <w:t xml:space="preserve">&gt;</w:t>
      </w:r>
    </w:p>
    <w:p>
      <w:pPr>
        <w:pStyle w:val="BodyText"/>
      </w:pPr>
      <w:r>
        <w:t xml:space="preserve">Furthermore, the competitive nature of</w:t>
      </w:r>
    </w:p>
    <w:p>
      <w:pPr>
        <w:pStyle w:val="BodyText"/>
      </w:pPr>
      <w:r>
        <w:t xml:space="preserve">New Zealand Auckland’s academic sector means that a</w:t>
      </w:r>
    </w:p>
    <w:p>
      <w:pPr>
        <w:pStyle w:val="BodyText"/>
      </w:pPr>
      <w:r>
        <w:t xml:space="preserve">Professor must constantly justify their resource allocation. This is particularly evident in grant applications where local impact must be balanced with global relevance. The report identifies a growing trend where</w:t>
      </w:r>
    </w:p>
    <w:p>
      <w:pPr>
        <w:pStyle w:val="BodyText"/>
      </w:pPr>
      <w:r>
        <w:t xml:space="preserve">Professors in Auckland are acting as bridges between government policy and scientific evidence, thereby influencing national decisions on health, education, and environmental protection.</w:t>
      </w:r>
    </w:p>
    <w:p>
      <w:pPr>
        <w:pStyle w:val="BodyText"/>
      </w:pPr>
      <w:r>
        <w:t xml:space="preserve">&gt;</w:t>
      </w:r>
    </w:p>
    <w:bookmarkEnd w:id="28"/>
    <w:bookmarkStart w:id="29" w:name="conclusion"/>
    <w:p>
      <w:pPr>
        <w:pStyle w:val="Heading2"/>
      </w:pPr>
      <w:r>
        <w:t xml:space="preserve">6. Conclusion</w:t>
      </w:r>
    </w:p>
    <w:p>
      <w:pPr>
        <w:pStyle w:val="FirstParagraph"/>
      </w:pPr>
      <w:r>
        <w:t xml:space="preserve">&gt;</w:t>
      </w:r>
    </w:p>
    <w:p>
      <w:pPr>
        <w:pStyle w:val="BodyText"/>
      </w:pPr>
      <w:r>
        <w:t xml:space="preserve">In conclusion, this laboratory-style report confirms that the position of</w:t>
      </w:r>
    </w:p>
    <w:p>
      <w:pPr>
        <w:pStyle w:val="BodyText"/>
      </w:pPr>
      <w:r>
        <w:t xml:space="preserve">Professor in</w:t>
      </w:r>
    </w:p>
    <w:p>
      <w:pPr>
        <w:pStyle w:val="BodyText"/>
      </w:pPr>
      <w:r>
        <w:t xml:space="preserve">New Zealand Auckland is pivotal to both academic integrity and societal progress. The role requires a sophisticated blend of research excellence, cultural sensitivity, and community engagement. As</w:t>
      </w:r>
    </w:p>
    <w:p>
      <w:pPr>
        <w:pStyle w:val="BodyText"/>
      </w:pPr>
      <w:r>
        <w:t xml:space="preserve">New Zealand Auckland continues to grow as a global city, the demands on its Professors will increase. It is imperative that universities support these individuals by providing adequate resources for interdisciplinary collaboration and cultural training.</w:t>
      </w:r>
    </w:p>
    <w:p>
      <w:pPr>
        <w:pStyle w:val="BodyText"/>
      </w:pPr>
      <w:r>
        <w:t xml:space="preserve">&gt;</w:t>
      </w:r>
    </w:p>
    <w:p>
      <w:pPr>
        <w:pStyle w:val="BodyText"/>
      </w:pPr>
      <w:r>
        <w:t xml:space="preserve">Future investigations should focus on longitudinal studies tracking the career trajectories of</w:t>
      </w:r>
    </w:p>
    <w:p>
      <w:pPr>
        <w:pStyle w:val="BodyText"/>
      </w:pPr>
      <w:r>
        <w:t xml:space="preserve">Professor in</w:t>
      </w:r>
    </w:p>
    <w:p>
      <w:pPr>
        <w:pStyle w:val="BodyText"/>
      </w:pPr>
      <w:r>
        <w:t xml:space="preserve">New Zealand Auckland to better understand long-term impacts on regional development. Until then, this report stands as a testament to the complexity and importance of Professorial duties in this unique geographical context.</w:t>
      </w:r>
    </w:p>
    <w:p>
      <w:pPr>
        <w:pStyle w:val="BodyText"/>
      </w:pPr>
      <w:r>
        <w:t xml:space="preserve">&gt;</w:t>
      </w:r>
    </w:p>
    <w:bookmarkEnd w:id="29"/>
    <w:bookmarkStart w:id="30" w:name="references"/>
    <w:p>
      <w:pPr>
        <w:pStyle w:val="Heading2"/>
      </w:pPr>
      <w:r>
        <w:t xml:space="preserve">7. References</w:t>
      </w:r>
    </w:p>
    <w:p>
      <w:pPr>
        <w:pStyle w:val="FirstParagraph"/>
      </w:pPr>
      <w:r>
        <w:t xml:space="preserve">&gt;</w:t>
      </w:r>
    </w:p>
    <w:p>
      <w:pPr>
        <w:pStyle w:val="BodyText"/>
      </w:pPr>
      <w:r>
        <w:t xml:space="preserve">- New Zealand Qualifications Authority (NZQA).</w:t>
      </w:r>
      <w:r>
        <w:t xml:space="preserve"> </w:t>
      </w:r>
      <w:r>
        <w:rPr>
          <w:iCs/>
          <w:i/>
        </w:rPr>
        <w:t xml:space="preserve">Framework for Academic Titles.</w:t>
      </w:r>
    </w:p>
    <w:p>
      <w:pPr>
        <w:pStyle w:val="BodyText"/>
      </w:pPr>
      <w:r>
        <w:t xml:space="preserve">&gt;</w:t>
      </w:r>
    </w:p>
    <w:p>
      <w:pPr>
        <w:pStyle w:val="BodyText"/>
      </w:pPr>
      <w:r>
        <w:t xml:space="preserve">- University of Auckland.</w:t>
      </w:r>
    </w:p>
    <w:p>
      <w:pPr>
        <w:pStyle w:val="BodyText"/>
      </w:pPr>
      <w:r>
        <w:t xml:space="preserve">Strategic Plan 2018-2030: Te Aroronga o te Whare Wānanga.</w:t>
      </w:r>
    </w:p>
    <w:p>
      <w:pPr>
        <w:pStyle w:val="BodyText"/>
      </w:pPr>
      <w:r>
        <w:t xml:space="preserve">&gt;</w:t>
      </w:r>
    </w:p>
    <w:p>
      <w:pPr>
        <w:pStyle w:val="BodyText"/>
      </w:pPr>
      <w:r>
        <w:t xml:space="preserve">- Ministry of Education New Zealand.</w:t>
      </w:r>
      <w:r>
        <w:t xml:space="preserve"> </w:t>
      </w:r>
      <w:r>
        <w:rPr>
          <w:iCs/>
          <w:i/>
        </w:rPr>
        <w:t xml:space="preserve">Te Tiriti o Waitangi in Higher Education.</w:t>
      </w:r>
    </w:p>
    <w:p>
      <w:pPr>
        <w:pStyle w:val="BodyText"/>
      </w:pPr>
      <w:r>
        <w:t xml:space="preserve">&gt;</w:t>
      </w:r>
    </w:p>
    <w:p>
      <w:pPr>
        <w:pStyle w:val="BodyText"/>
      </w:pPr>
      <w:r>
        <w:t xml:space="preserve">- Tertiary Education Commission (TEC).</w:t>
      </w:r>
    </w:p>
    <w:p>
      <w:pPr>
        <w:pStyle w:val="BodyText"/>
      </w:pPr>
      <w:r>
        <w:t xml:space="preserve">Performance-Based Research Fund (PBRF) Criteria.</w:t>
      </w:r>
    </w:p>
    <w:p>
      <w:pPr>
        <w:pStyle w:val="BodyText"/>
      </w:pPr>
      <w:r>
        <w:t xml:space="preserve">&gt;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Academic Assessment of Professorial Standards in Auckland, New Zealand</dc:title>
  <dc:creator/>
  <dc:language>en</dc:language>
  <cp:keywords/>
  <dcterms:created xsi:type="dcterms:W3CDTF">2026-07-29T20:36:07Z</dcterms:created>
  <dcterms:modified xsi:type="dcterms:W3CDTF">2026-07-29T20:36:07Z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