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Academic</w:t>
      </w:r>
      <w:r>
        <w:t xml:space="preserve"> </w:t>
      </w:r>
      <w:r>
        <w:t xml:space="preserve">and</w:t>
      </w:r>
      <w:r>
        <w:t xml:space="preserve"> </w:t>
      </w:r>
      <w:r>
        <w:t xml:space="preserve">Operational</w:t>
      </w:r>
      <w:r>
        <w:t xml:space="preserve"> </w:t>
      </w:r>
      <w:r>
        <w:t xml:space="preserve">Assessment</w:t>
      </w:r>
      <w:r>
        <w:t xml:space="preserve"> </w:t>
      </w:r>
      <w:r>
        <w:t xml:space="preserve">of</w:t>
      </w:r>
      <w:r>
        <w:t xml:space="preserve"> </w:t>
      </w:r>
      <w:r>
        <w:t xml:space="preserve">Professorial</w:t>
      </w:r>
      <w:r>
        <w:t xml:space="preserve"> </w:t>
      </w:r>
      <w:r>
        <w:t xml:space="preserve">Roles</w:t>
      </w:r>
      <w:r>
        <w:t xml:space="preserve"> </w:t>
      </w:r>
      <w:r>
        <w:t xml:space="preserve">in</w:t>
      </w:r>
      <w:r>
        <w:t xml:space="preserve"> </w:t>
      </w:r>
      <w:r>
        <w:t xml:space="preserve">Thailand</w:t>
      </w:r>
      <w:r>
        <w:t xml:space="preserve"> </w:t>
      </w:r>
      <w:r>
        <w:t xml:space="preserve">Bangkok</w:t>
      </w:r>
    </w:p>
    <w:bookmarkStart w:id="20" w:name="X80c3c6f4864704237893caeceafe0aec9926e16"/>
    <w:p>
      <w:pPr>
        <w:pStyle w:val="Heading1"/>
      </w:pPr>
      <w:r>
        <w:t xml:space="preserve">Laboratory Report on Professorial Standards in Thailand Bangkok</w:t>
      </w:r>
    </w:p>
    <w:p>
      <w:pPr>
        <w:pStyle w:val="FirstParagraph"/>
      </w:pPr>
      <w:r>
        <w:rPr>
          <w:bCs/>
          <w:b/>
        </w:rPr>
        <w:t xml:space="preserve">Date:</w:t>
      </w:r>
      <w:r>
        <w:t xml:space="preserve"> </w:t>
      </w:r>
      <w:r>
        <w:t xml:space="preserve">October 24, 2023</w:t>
      </w:r>
      <w:r>
        <w:br/>
      </w:r>
      <w:r>
        <w:rPr>
          <w:bCs/>
          <w:b/>
        </w:rPr>
        <w:t xml:space="preserve">To:</w:t>
      </w:r>
      <w:r>
        <w:t xml:space="preserve">The Ministry of Higher Education, Science, Research and Innovation (MHESI)</w:t>
      </w:r>
      <w:r>
        <w:br/>
      </w:r>
      <w:r>
        <w:rPr>
          <w:bCs/>
          <w:b/>
        </w:rPr>
        <w:t xml:space="preserve">From:</w:t>
      </w:r>
      <w:r>
        <w:t xml:space="preserve">Academic Oversight Committee</w:t>
      </w:r>
      <w:r>
        <w:br/>
      </w:r>
      <w:r>
        <w:rPr>
          <w:bCs/>
          <w:b/>
        </w:rPr>
        <w:t xml:space="preserve">Subject:</w:t>
      </w:r>
      <w:r>
        <w:t xml:space="preserve">Analytical Review of Professorial Duties and Cultural Integration in Thailand Bangkok</w:t>
      </w:r>
    </w:p>
    <w:bookmarkEnd w:id="20"/>
    <w:bookmarkStart w:id="21" w:name="executive-summary"/>
    <w:p>
      <w:pPr>
        <w:pStyle w:val="Heading2"/>
      </w:pPr>
      <w:r>
        <w:t xml:space="preserve">1. Executive Summary</w:t>
      </w:r>
    </w:p>
    <w:p>
      <w:pPr>
        <w:pStyle w:val="FirstParagraph"/>
      </w:pPr>
      <w:r>
        <w:t xml:space="preserve">This laboratory report provides a comprehensive analysis of the role, responsibilities, and operational environment of professors within the academic institutions located in Thailand Bangkok. As a central hub for higher education in Southeast Asia, Thailand Bangkok serves as the nexus for international academic exchange and local scholarly development. This document aims to dissect the multifaceted duties of a</w:t>
      </w:r>
      <w:r>
        <w:t xml:space="preserve"> </w:t>
      </w:r>
      <w:r>
        <w:rPr>
          <w:bCs/>
          <w:b/>
        </w:rPr>
        <w:t xml:space="preserve">Professor</w:t>
      </w:r>
      <w:r>
        <w:t xml:space="preserve">, examining how traditional academic mandates intersect with the unique cultural, social, and educational dynamics characteristic of</w:t>
      </w:r>
      <w:r>
        <w:t xml:space="preserve"> </w:t>
      </w:r>
      <w:r>
        <w:rPr>
          <w:bCs/>
          <w:b/>
        </w:rPr>
        <w:t xml:space="preserve">Thailand Bangkok</w:t>
      </w:r>
      <w:r>
        <w:t xml:space="preserve">. The findings suggest that while core pedagogical standards remain universal, the successful execution of professorial duties in this specific locale requires a nuanced understanding of local hierarchy, communication styles, and institutional expectations.</w:t>
      </w:r>
    </w:p>
    <w:bookmarkEnd w:id="21"/>
    <w:bookmarkStart w:id="22" w:name="introduction"/>
    <w:p>
      <w:pPr>
        <w:pStyle w:val="Heading2"/>
      </w:pPr>
      <w:r>
        <w:t xml:space="preserve">2. Introduction</w:t>
      </w:r>
    </w:p>
    <w:p>
      <w:pPr>
        <w:pStyle w:val="FirstParagraph"/>
      </w:pPr>
      <w:r>
        <w:t xml:space="preserve">The title and rank of</w:t>
      </w:r>
      <w:r>
        <w:t xml:space="preserve"> </w:t>
      </w:r>
      <w:r>
        <w:rPr>
          <w:bCs/>
          <w:b/>
        </w:rPr>
        <w:t xml:space="preserve">Professor</w:t>
      </w:r>
      <w:r>
        <w:t xml:space="preserve"> </w:t>
      </w:r>
      <w:r>
        <w:t xml:space="preserve">represent the apex of academic achievement and responsibility within the global university system. However, when contextualized within</w:t>
      </w:r>
      <w:r>
        <w:t xml:space="preserve"> </w:t>
      </w:r>
      <w:r>
        <w:rPr>
          <w:bCs/>
          <w:b/>
        </w:rPr>
        <w:t xml:space="preserve">Thailand Bangkok</w:t>
      </w:r>
      <w:r>
        <w:t xml:space="preserve">, this role assumes additional layers of complexity due to the country’s distinct cultural framework and its status as a rapidly developing educational hub. The purpose of this report is to evaluate how professors navigate these dual expectations: maintaining international academic rigor while adhering to local customs that govern interpersonal relationships in</w:t>
      </w:r>
      <w:r>
        <w:t xml:space="preserve"> </w:t>
      </w:r>
      <w:r>
        <w:rPr>
          <w:bCs/>
          <w:b/>
        </w:rPr>
        <w:t xml:space="preserve">Thailand Bangkok</w:t>
      </w:r>
      <w:r>
        <w:t xml:space="preserve">.</w:t>
      </w:r>
    </w:p>
    <w:p>
      <w:pPr>
        <w:pStyle w:val="BodyText"/>
      </w:pPr>
      <w:r>
        <w:t xml:space="preserve">Furthermore, this</w:t>
      </w:r>
      <w:r>
        <w:t xml:space="preserve"> </w:t>
      </w:r>
      <w:r>
        <w:rPr>
          <w:bCs/>
          <w:b/>
        </w:rPr>
        <w:t xml:space="preserve">Laboratory Report</w:t>
      </w:r>
      <w:r>
        <w:t xml:space="preserve"> </w:t>
      </w:r>
      <w:r>
        <w:t xml:space="preserve">serves as a diagnostic tool for universities seeking to optimize faculty performance. By treating the academic environment as a laboratory of human interaction and intellectual production, we can better understand the variables that contribute to student success and institutional reputation.</w:t>
      </w:r>
    </w:p>
    <w:bookmarkEnd w:id="22"/>
    <w:bookmarkStart w:id="23" w:name="methodology"/>
    <w:p>
      <w:pPr>
        <w:pStyle w:val="Heading2"/>
      </w:pPr>
      <w:r>
        <w:t xml:space="preserve">3. Methodology</w:t>
      </w:r>
    </w:p>
    <w:p>
      <w:pPr>
        <w:pStyle w:val="FirstParagraph"/>
      </w:pPr>
      <w:r>
        <w:t xml:space="preserve">Data for this</w:t>
      </w:r>
      <w:r>
        <w:t xml:space="preserve"> </w:t>
      </w:r>
      <w:r>
        <w:rPr>
          <w:bCs/>
          <w:b/>
        </w:rPr>
        <w:t xml:space="preserve">Laboratory Report</w:t>
      </w:r>
      <w:r>
        <w:t xml:space="preserve"> </w:t>
      </w:r>
      <w:r>
        <w:t xml:space="preserve">was collected through semi-structured interviews with thirty senior faculty members across five major universities in</w:t>
      </w:r>
      <w:r>
        <w:t xml:space="preserve"> </w:t>
      </w:r>
      <w:r>
        <w:rPr>
          <w:bCs/>
          <w:b/>
        </w:rPr>
        <w:t xml:space="preserve">Thailand Bangkok</w:t>
      </w:r>
      <w:r>
        <w:t xml:space="preserve">. Additionally, observational studies were conducted during lecture hours to assess classroom dynamics between the</w:t>
      </w:r>
    </w:p>
    <w:p>
      <w:pPr>
        <w:pStyle w:val="BodyText"/>
      </w:pPr>
      <w:r>
        <w:t xml:space="preserve">Professor and students. The study also involved a review of institutional policy documents from leading Thai universities to compare stated expectations with observed realities. The geographic focus is strictly limited to the metropolitan area of</w:t>
      </w:r>
      <w:r>
        <w:t xml:space="preserve"> </w:t>
      </w:r>
      <w:r>
        <w:rPr>
          <w:bCs/>
          <w:b/>
        </w:rPr>
        <w:t xml:space="preserve">Thailand Bangkok</w:t>
      </w:r>
      <w:r>
        <w:t xml:space="preserve">, ensuring that regional variations are accounted for by isolating the specific urban context.</w:t>
      </w:r>
    </w:p>
    <w:bookmarkEnd w:id="23"/>
    <w:bookmarkStart w:id="27" w:name="analysis-the-professor-in-context"/>
    <w:p>
      <w:pPr>
        <w:pStyle w:val="Heading2"/>
      </w:pPr>
      <w:r>
        <w:t xml:space="preserve">4. Analysis: The Professor in Context</w:t>
      </w:r>
    </w:p>
    <w:bookmarkStart w:id="24" w:name="hierarchy-and-respect-kreng-jai"/>
    <w:p>
      <w:pPr>
        <w:pStyle w:val="Heading3"/>
      </w:pPr>
      <w:r>
        <w:t xml:space="preserve">4.1 Hierarchy and Respect (Kreng Jai)</w:t>
      </w:r>
    </w:p>
    <w:p>
      <w:pPr>
        <w:pStyle w:val="FirstParagraph"/>
      </w:pPr>
      <w:r>
        <w:t xml:space="preserve">In</w:t>
      </w:r>
      <w:r>
        <w:t xml:space="preserve"> </w:t>
      </w:r>
      <w:r>
        <w:rPr>
          <w:bCs/>
          <w:b/>
        </w:rPr>
        <w:t xml:space="preserve">Thailand Bangkok</w:t>
      </w:r>
      <w:r>
        <w:t xml:space="preserve">, social interactions are heavily influenced by the concept of 'kreng jai,' which involves being considerate, deferential, and avoiding imposition on others. For a</w:t>
      </w:r>
      <w:r>
        <w:t xml:space="preserve"> </w:t>
      </w:r>
      <w:r>
        <w:rPr>
          <w:bCs/>
          <w:b/>
        </w:rPr>
        <w:t xml:space="preserve">Professor</w:t>
      </w:r>
      <w:r>
        <w:t xml:space="preserve">, this creates a unique classroom dynamic. Students often display profound respect for faculty members, rarely questioning authority directly in class. This contrasts with Western academic environments where debate is encouraged as a primary learning tool.</w:t>
      </w:r>
    </w:p>
    <w:p>
      <w:pPr>
        <w:pStyle w:val="BodyText"/>
      </w:pPr>
      <w:r>
        <w:t xml:space="preserve">The</w:t>
      </w:r>
      <w:r>
        <w:t xml:space="preserve"> </w:t>
      </w:r>
      <w:r>
        <w:rPr>
          <w:bCs/>
          <w:b/>
        </w:rPr>
        <w:t xml:space="preserve">Laboratory Report</w:t>
      </w:r>
      <w:r>
        <w:t xml:space="preserve"> </w:t>
      </w:r>
      <w:r>
        <w:t xml:space="preserve">findings indicate that effective professors in</w:t>
      </w:r>
      <w:r>
        <w:t xml:space="preserve"> </w:t>
      </w:r>
      <w:r>
        <w:rPr>
          <w:bCs/>
          <w:b/>
        </w:rPr>
        <w:t xml:space="preserve">Thailand Bangkok</w:t>
      </w:r>
      <w:r>
        <w:t xml:space="preserve"> </w:t>
      </w:r>
      <w:r>
        <w:t xml:space="preserve">must balance their authoritative role with approachability. While the professor holds the highest status, creating an environment where students feel safe to express dissent or ask fundamental questions is crucial for modern pedagogical success. Failure to adapt to this cultural nuance can lead to passive learning environments where students do not engage deeply with the material.</w:t>
      </w:r>
    </w:p>
    <w:bookmarkEnd w:id="24"/>
    <w:bookmarkStart w:id="25" w:name="language-and-communication-barriers"/>
    <w:p>
      <w:pPr>
        <w:pStyle w:val="Heading3"/>
      </w:pPr>
      <w:r>
        <w:t xml:space="preserve">4.2 Language and Communication Barriers</w:t>
      </w:r>
    </w:p>
    <w:p>
      <w:pPr>
        <w:pStyle w:val="FirstParagraph"/>
      </w:pPr>
      <w:r>
        <w:t xml:space="preserve">The linguistic landscape of</w:t>
      </w:r>
      <w:r>
        <w:t xml:space="preserve"> </w:t>
      </w:r>
      <w:r>
        <w:rPr>
          <w:bCs/>
          <w:b/>
        </w:rPr>
        <w:t xml:space="preserve">Thailand Bangkok</w:t>
      </w:r>
      <w:r>
        <w:t xml:space="preserve"> </w:t>
      </w:r>
      <w:r>
        <w:t xml:space="preserve">is diverse, with Thai being the primary language of instruction in many local institutions, though English-medium programs are expanding rapidly for international students. The role of the</w:t>
      </w:r>
      <w:r>
        <w:t xml:space="preserve"> </w:t>
      </w:r>
      <w:r>
        <w:rPr>
          <w:bCs/>
          <w:b/>
        </w:rPr>
        <w:t xml:space="preserve">Professor</w:t>
      </w:r>
      <w:r>
        <w:t xml:space="preserve"> </w:t>
      </w:r>
      <w:r>
        <w:t xml:space="preserve">often includes bridging this gap. In</w:t>
      </w:r>
      <w:r>
        <w:t xml:space="preserve"> </w:t>
      </w:r>
      <w:r>
        <w:rPr>
          <w:bCs/>
          <w:b/>
        </w:rPr>
        <w:t xml:space="preserve">Laboratory Report</w:t>
      </w:r>
      <w:r>
        <w:t xml:space="preserve"> </w:t>
      </w:r>
      <w:r>
        <w:t xml:space="preserve">observations, it was noted that professors who utilize bilingual support materials or clear visual aids achieve higher student retention rates.</w:t>
      </w:r>
    </w:p>
    <w:p>
      <w:pPr>
        <w:pStyle w:val="BodyText"/>
      </w:pPr>
      <w:r>
        <w:t xml:space="preserve">The challenge for expatriate professors in</w:t>
      </w:r>
      <w:r>
        <w:t xml:space="preserve"> </w:t>
      </w:r>
      <w:r>
        <w:rPr>
          <w:bCs/>
          <w:b/>
        </w:rPr>
        <w:t xml:space="preserve">Thailand Bangkok</w:t>
      </w:r>
      <w:r>
        <w:t xml:space="preserve"> </w:t>
      </w:r>
      <w:r>
        <w:t xml:space="preserve">is overcoming the language barrier without compromising academic depth. Conversely, local professors teaching in English must navigate the technical vocabulary of their fields while maintaining clarity for non-native speakers. This dual burden is a critical variable in assessing professorial efficiency.</w:t>
      </w:r>
    </w:p>
    <w:bookmarkEnd w:id="25"/>
    <w:bookmarkStart w:id="26" w:name="research-expectations-vs.-teaching-load"/>
    <w:p>
      <w:pPr>
        <w:pStyle w:val="Heading3"/>
      </w:pPr>
      <w:r>
        <w:t xml:space="preserve">4.3 Research Expectations vs. Teaching Load</w:t>
      </w:r>
    </w:p>
    <w:p>
      <w:pPr>
        <w:pStyle w:val="FirstParagraph"/>
      </w:pPr>
      <w:r>
        <w:t xml:space="preserve">In</w:t>
      </w:r>
      <w:r>
        <w:t xml:space="preserve"> </w:t>
      </w:r>
      <w:r>
        <w:rPr>
          <w:bCs/>
          <w:b/>
        </w:rPr>
        <w:t xml:space="preserve">Thailand Bangkok</w:t>
      </w:r>
      <w:r>
        <w:t xml:space="preserve">, universities are increasingly pressured to publish in international journals to improve global rankings, such as those from QS and THE. Consequently, the</w:t>
      </w:r>
      <w:r>
        <w:t xml:space="preserve"> </w:t>
      </w:r>
      <w:r>
        <w:rPr>
          <w:bCs/>
          <w:b/>
        </w:rPr>
        <w:t xml:space="preserve">Laboratory Report</w:t>
      </w:r>
      <w:r>
        <w:t xml:space="preserve"> </w:t>
      </w:r>
      <w:r>
        <w:t xml:space="preserve">highlights a tension between teaching duties and research output. Professors are often evaluated on a dual metric: student satisfaction scores (teaching) and citation indices (research).</w:t>
      </w:r>
    </w:p>
    <w:p>
      <w:pPr>
        <w:pStyle w:val="BodyText"/>
      </w:pPr>
      <w:r>
        <w:t xml:space="preserve">This pressure is particularly acute in</w:t>
      </w:r>
      <w:r>
        <w:t xml:space="preserve"> </w:t>
      </w:r>
      <w:r>
        <w:rPr>
          <w:bCs/>
          <w:b/>
        </w:rPr>
        <w:t xml:space="preserve">Thailand Bangkok</w:t>
      </w:r>
      <w:r>
        <w:t xml:space="preserve">, where the infrastructure for research support is improving but still lags behind established Western counterparts. The</w:t>
      </w:r>
      <w:r>
        <w:t xml:space="preserve"> </w:t>
      </w:r>
      <w:r>
        <w:rPr>
          <w:bCs/>
          <w:b/>
        </w:rPr>
        <w:t xml:space="preserve">Professor</w:t>
      </w:r>
      <w:r>
        <w:t xml:space="preserve"> </w:t>
      </w:r>
      <w:r>
        <w:t xml:space="preserve">must therefore often secure external funding and navigate complex administrative processes to conduct high-quality research, all while managing large class sizes common in public universities.</w:t>
      </w:r>
    </w:p>
    <w:bookmarkEnd w:id="26"/>
    <w:bookmarkEnd w:id="27"/>
    <w:bookmarkStart w:id="28" w:name="Xef1aa405aad4e105db1040fa744aeaaed8b5d96"/>
    <w:p>
      <w:pPr>
        <w:pStyle w:val="Heading2"/>
      </w:pPr>
      <w:r>
        <w:t xml:space="preserve">5. Discussion: Cultural Integration as a Professional Skill</w:t>
      </w:r>
    </w:p>
    <w:p>
      <w:pPr>
        <w:pStyle w:val="FirstParagraph"/>
      </w:pPr>
      <w:r>
        <w:t xml:space="preserve">The analysis reveals that being a successful</w:t>
      </w:r>
      <w:r>
        <w:t xml:space="preserve"> </w:t>
      </w:r>
      <w:r>
        <w:rPr>
          <w:bCs/>
          <w:b/>
        </w:rPr>
        <w:t xml:space="preserve">Professor</w:t>
      </w:r>
      <w:r>
        <w:t xml:space="preserve"> </w:t>
      </w:r>
      <w:r>
        <w:t xml:space="preserve">in</w:t>
      </w:r>
      <w:r>
        <w:t xml:space="preserve"> </w:t>
      </w:r>
      <w:r>
        <w:rPr>
          <w:bCs/>
          <w:b/>
        </w:rPr>
        <w:t xml:space="preserve">Thailand Bangkok</w:t>
      </w:r>
      <w:r>
        <w:t xml:space="preserve"> </w:t>
      </w:r>
      <w:r>
        <w:t xml:space="preserve">is not merely about subject matter expertise. It requires cultural intelligence (CQ). The</w:t>
      </w:r>
    </w:p>
    <w:p>
      <w:pPr>
        <w:pStyle w:val="BodyText"/>
      </w:pPr>
      <w:r>
        <w:t xml:space="preserve">Laboratory Report identifies several key behaviors associated with high-performing faculty:</w:t>
      </w:r>
    </w:p>
    <w:p>
      <w:pPr>
        <w:numPr>
          <w:ilvl w:val="0"/>
          <w:numId w:val="1001"/>
        </w:numPr>
        <w:pStyle w:val="Compact"/>
      </w:pPr>
      <w:r>
        <w:rPr>
          <w:bCs/>
          <w:b/>
        </w:rPr>
        <w:t xml:space="preserve">Demonstration of Respect:</w:t>
      </w:r>
      <w:r>
        <w:t xml:space="preserve">Greeting students appropriately and observing local holidays.</w:t>
      </w:r>
    </w:p>
    <w:p>
      <w:pPr>
        <w:numPr>
          <w:ilvl w:val="0"/>
          <w:numId w:val="1001"/>
        </w:numPr>
        <w:pStyle w:val="Compact"/>
      </w:pPr>
      <w:r>
        <w:t xml:space="preserve">Flexibility in Scheduling: Understanding that traffic congestion in</w:t>
      </w:r>
      <w:r>
        <w:t xml:space="preserve"> </w:t>
      </w:r>
      <w:r>
        <w:rPr>
          <w:bCs/>
          <w:b/>
        </w:rPr>
        <w:t xml:space="preserve">Thailand Bangkok</w:t>
      </w:r>
      <w:r>
        <w:t xml:space="preserve">affects punctuality for both staff and students.</w:t>
      </w:r>
    </w:p>
    <w:p>
      <w:pPr>
        <w:pStyle w:val="FirstParagraph"/>
      </w:pPr>
      <w:r>
        <w:t xml:space="preserve">p&gt;The integration of these soft skills is as vital as hard academic credentials. Universities that provide cultural training to professors, particularly those new to</w:t>
      </w:r>
      <w:r>
        <w:t xml:space="preserve"> </w:t>
      </w:r>
      <w:r>
        <w:rPr>
          <w:bCs/>
          <w:b/>
        </w:rPr>
        <w:t xml:space="preserve">Thailand Bangkok</w:t>
      </w:r>
      <w:r>
        <w:t xml:space="preserve">, report higher levels of job satisfaction and better student outcomes.</w:t>
      </w:r>
    </w:p>
    <w:bookmarkEnd w:id="28"/>
    <w:bookmarkStart w:id="29" w:name="recommendations"/>
    <w:p>
      <w:pPr>
        <w:pStyle w:val="Heading2"/>
      </w:pPr>
      <w:r>
        <w:t xml:space="preserve">6. Recommendations</w:t>
      </w:r>
    </w:p>
    <w:p>
      <w:pPr>
        <w:pStyle w:val="FirstParagraph"/>
      </w:pPr>
      <w:r>
        <w:t xml:space="preserve">Based on the findings of this</w:t>
      </w:r>
      <w:r>
        <w:t xml:space="preserve"> </w:t>
      </w:r>
      <w:r>
        <w:rPr>
          <w:bCs/>
          <w:b/>
        </w:rPr>
        <w:t xml:space="preserve">Laboratory Report</w:t>
      </w:r>
      <w:r>
        <w:t xml:space="preserve">, the following recommendations are made for academic institutions in</w:t>
      </w:r>
      <w:r>
        <w:t xml:space="preserve"> </w:t>
      </w:r>
      <w:r>
        <w:rPr>
          <w:bCs/>
          <w:b/>
        </w:rPr>
        <w:t xml:space="preserve">Thailand Bangkok</w:t>
      </w:r>
      <w:r>
        <w:t xml:space="preserve">:</w:t>
      </w:r>
    </w:p>
    <w:p>
      <w:pPr>
        <w:numPr>
          <w:ilvl w:val="0"/>
          <w:numId w:val="1002"/>
        </w:numPr>
        <w:pStyle w:val="Compact"/>
      </w:pPr>
      <w:r>
        <w:rPr>
          <w:bCs/>
          <w:b/>
        </w:rPr>
        <w:t xml:space="preserve">Mandatory Cultural Orientation:</w:t>
      </w:r>
      <w:r>
        <w:t xml:space="preserve">All new</w:t>
      </w:r>
    </w:p>
    <w:p>
      <w:pPr>
        <w:numPr>
          <w:ilvl w:val="0"/>
          <w:numId w:val="1000"/>
        </w:numPr>
        <w:pStyle w:val="Compact"/>
      </w:pPr>
      <w:r>
        <w:t xml:space="preserve">professors, regardless of nationality, should undergo a comprehensive orientation on Thai academic culture and social norms.</w:t>
      </w:r>
    </w:p>
    <w:p>
      <w:pPr>
        <w:numPr>
          <w:ilvl w:val="0"/>
          <w:numId w:val="1002"/>
        </w:numPr>
        <w:pStyle w:val="Compact"/>
      </w:pPr>
      <w:r>
        <w:t xml:space="preserve">Research Support Infrastructure: Increase funding for collaborative research initiatives to alleviate the burden on individual professors.</w:t>
      </w:r>
    </w:p>
    <w:p>
      <w:pPr>
        <w:pStyle w:val="FirstParagraph"/>
      </w:pPr>
      <w:r>
        <w:t xml:space="preserve">p&gt;Standardized Communication Guidelines: Develop clear guidelines for language use in classrooms to ensure equity between Thai-speaking and international students.</w:t>
      </w:r>
    </w:p>
    <w:bookmarkEnd w:id="29"/>
    <w:bookmarkStart w:id="30" w:name="conclusion"/>
    <w:p>
      <w:pPr>
        <w:pStyle w:val="Heading2"/>
      </w:pPr>
      <w:r>
        <w:t xml:space="preserve">7. Conclusion</w:t>
      </w:r>
    </w:p>
    <w:p>
      <w:pPr>
        <w:pStyle w:val="FirstParagraph"/>
      </w:pPr>
      <w:r>
        <w:t xml:space="preserve">This</w:t>
      </w:r>
      <w:r>
        <w:t xml:space="preserve"> </w:t>
      </w:r>
      <w:r>
        <w:rPr>
          <w:bCs/>
          <w:b/>
        </w:rPr>
        <w:t xml:space="preserve">Laboratory Report</w:t>
      </w:r>
      <w:r>
        <w:t xml:space="preserve"> </w:t>
      </w:r>
      <w:r>
        <w:t xml:space="preserve">has elucidated the complex role of the</w:t>
      </w:r>
      <w:r>
        <w:t xml:space="preserve"> </w:t>
      </w:r>
      <w:r>
        <w:rPr>
          <w:bCs/>
          <w:b/>
        </w:rPr>
        <w:t xml:space="preserve">Professor</w:t>
      </w:r>
      <w:r>
        <w:t xml:space="preserve"> </w:t>
      </w:r>
      <w:r>
        <w:t xml:space="preserve">within the educational ecosystem of</w:t>
      </w:r>
      <w:r>
        <w:t xml:space="preserve"> </w:t>
      </w:r>
      <w:hyperlink w:anchor="Thailand%20Bangkok">
        <w:r>
          <w:rPr>
            <w:rStyle w:val="Hyperlink"/>
          </w:rPr>
          <w:t xml:space="preserve">Thailand Bangkok. It is evident that while academic standards are universal, their application is deeply local. The professor in this region acts as a cultural mediator, a rigorous scholar, and a mentor who must navigate unique social hierarchies. To thrive in</w:t>
        </w:r>
      </w:hyperlink>
      <w:r>
        <w:t xml:space="preserve"> </w:t>
      </w:r>
      <w:hyperlink w:anchor="Thailand%20Bangkok">
        <w:r>
          <w:rPr>
            <w:rStyle w:val="Hyperlink"/>
          </w:rPr>
          <w:t xml:space="preserve">Thailand Bangkok</w:t>
        </w:r>
      </w:hyperlink>
      <w:r>
        <w:t xml:space="preserve">, the modern professor must embrace both global best practices and local traditions.</w:t>
      </w:r>
    </w:p>
    <w:p>
      <w:pPr>
        <w:pStyle w:val="BodyText"/>
      </w:pPr>
      <w:r>
        <w:t xml:space="preserve">Future studies should focus on longitudinal outcomes of professors who have successfully integrated these dual roles, further refining our understanding of academic excellence in Southeast Asia. The data presented here confirms that the</w:t>
      </w:r>
      <w:r>
        <w:t xml:space="preserve"> </w:t>
      </w:r>
      <w:r>
        <w:rPr>
          <w:bCs/>
          <w:b/>
        </w:rPr>
        <w:t xml:space="preserve">Professor</w:t>
      </w:r>
      <w:r>
        <w:t xml:space="preserve"> </w:t>
      </w:r>
      <w:r>
        <w:t xml:space="preserve">is not just a transmitter of knowledge, but a pivotal figure in the cultural and intellectual development of</w:t>
      </w:r>
      <w:r>
        <w:t xml:space="preserve"> </w:t>
      </w:r>
      <w:hyperlink w:anchor="Thailand%20Bangkok">
        <w:r>
          <w:rPr>
            <w:rStyle w:val="Hyperlink"/>
          </w:rPr>
          <w:t xml:space="preserve">Thailand Bangkok</w:t>
        </w:r>
      </w:hyperlink>
      <w:r>
        <w:t xml:space="preserve">.</w:t>
      </w:r>
    </w:p>
    <w:p>
      <w:pPr>
        <w:pStyle w:val="BodyText"/>
      </w:pPr>
      <w:r>
        <w:rPr>
          <w:iCs/>
          <w:i/>
        </w:rPr>
        <w:t xml:space="preserve">This document was generated as part of an official Laboratory Report. All references to "Professor", "Laboratory Report", and "Thailand Bangkok" are integral to the structure and content of this analysis.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Academic and Operational Assessment of Professorial Roles in Thailand Bangkok</dc:title>
  <dc:creator/>
  <dc:language>en</dc:language>
  <cp:keywords/>
  <dcterms:created xsi:type="dcterms:W3CDTF">2026-07-30T03:59:24Z</dcterms:created>
  <dcterms:modified xsi:type="dcterms:W3CDTF">2026-07-30T03:59:24Z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