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Professorial</w:t>
      </w:r>
      <w:r>
        <w:t xml:space="preserve"> </w:t>
      </w:r>
      <w:r>
        <w:t xml:space="preserve">Research</w:t>
      </w:r>
      <w:r>
        <w:t xml:space="preserve"> </w:t>
      </w:r>
      <w:r>
        <w:t xml:space="preserve">Analysis</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9" w:name="lab-report"/>
    <w:p>
      <w:pPr>
        <w:pStyle w:val="Heading1"/>
      </w:pPr>
      <w:r>
        <w:t xml:space="preserve">LAB REPORT</w:t>
      </w:r>
    </w:p>
    <w:p>
      <w:pPr>
        <w:pStyle w:val="FirstParagraph"/>
      </w:pPr>
      <w:r>
        <w:rPr>
          <w:bCs/>
          <w:b/>
        </w:rPr>
        <w:t xml:space="preserve">Date:</w:t>
      </w:r>
    </w:p>
    <w:p>
      <w:pPr>
        <w:pStyle w:val="BodyText"/>
      </w:pPr>
      <w:r>
        <w:rPr>
          <w:bCs/>
          <w:b/>
        </w:rPr>
        <w:t xml:space="preserve">ID:</w:t>
      </w:r>
    </w:p>
    <w:p>
      <w:pPr>
        <w:pStyle w:val="BodyText"/>
      </w:pPr>
      <w:r>
        <w:t xml:space="preserve">BIR-UK-PROF-LAB-0042</w:t>
      </w:r>
    </w:p>
    <w:p>
      <w:pPr>
        <w:pStyle w:val="BodyText"/>
      </w:pPr>
      <w:r>
        <w:rPr>
          <w:bCs/>
          <w:b/>
        </w:rPr>
        <w:t xml:space="preserve">Institution:</w:t>
      </w:r>
    </w:p>
    <w:p>
      <w:pPr>
        <w:pStyle w:val="BodyText"/>
      </w:pPr>
      <w:r>
        <w:t xml:space="preserve">National Centre for Computational Science, United Kingdom Birmingham</w:t>
      </w:r>
    </w:p>
    <w:bookmarkStart w:id="20" w:name="executive-summary"/>
    <w:p>
      <w:pPr>
        <w:pStyle w:val="Heading2"/>
      </w:pPr>
      <w:r>
        <w:t xml:space="preserve">1. Executive Summary</w:t>
      </w:r>
    </w:p>
    <w:p>
      <w:pPr>
        <w:pStyle w:val="FirstParagraph"/>
      </w:pPr>
      <w:r>
        <w:t xml:space="preserve">This laboratory report provides a comprehensive analysis of the academic and research activities conducted under the supervision of our distinguished</w:t>
      </w:r>
      <w:r>
        <w:t xml:space="preserve"> </w:t>
      </w:r>
      <w:r>
        <w:rPr>
          <w:bCs/>
          <w:b/>
        </w:rPr>
        <w:t xml:space="preserve">Professor</w:t>
      </w:r>
      <w:r>
        <w:t xml:space="preserve">. The primary objective of this study is to evaluate the impact, methodology, and outcomes of recent experimental work within our facility located in</w:t>
      </w:r>
      <w:r>
        <w:t xml:space="preserve"> </w:t>
      </w:r>
      <w:r>
        <w:rPr>
          <w:bCs/>
          <w:b/>
        </w:rPr>
        <w:t xml:space="preserve">United Kingdom Birmingham</w:t>
      </w:r>
      <w:r>
        <w:t xml:space="preserve">. By focusing on these specific parameters, we aim to establish a robust framework for future academic inquiries. This document serves as an official record of our findings regarding the interdisciplinary projects managed by the</w:t>
      </w:r>
      <w:r>
        <w:t xml:space="preserve"> </w:t>
      </w:r>
      <w:r>
        <w:rPr>
          <w:bCs/>
          <w:b/>
        </w:rPr>
        <w:t xml:space="preserve">Professor</w:t>
      </w:r>
      <w:r>
        <w:t xml:space="preserve">, highlighting how location-specific variables in</w:t>
      </w:r>
      <w:r>
        <w:t xml:space="preserve"> </w:t>
      </w:r>
      <w:r>
        <w:rPr>
          <w:bCs/>
          <w:b/>
        </w:rPr>
        <w:t xml:space="preserve">United Kingdom Birmingham</w:t>
      </w:r>
      <w:r>
        <w:t xml:space="preserve"> </w:t>
      </w:r>
      <w:r>
        <w:t xml:space="preserve">influence research efficiency and scholarly output.</w:t>
      </w:r>
    </w:p>
    <w:p>
      <w:pPr>
        <w:pStyle w:val="BodyText"/>
      </w:pPr>
      <w:r>
        <w:t xml:space="preserve">The data presented herein confirms that the strategic placement of our laboratory in</w:t>
      </w:r>
    </w:p>
    <w:p>
      <w:pPr>
        <w:pStyle w:val="BodyText"/>
      </w:pPr>
      <w:r>
        <w:t xml:space="preserve">United Kingdom Birmingham has provided unique advantages regarding collaborative opportunities with regional industries. Furthermore, the leadership style and methodological rigor demonstrated by the</w:t>
      </w:r>
      <w:r>
        <w:t xml:space="preserve"> </w:t>
      </w:r>
      <w:r>
        <w:rPr>
          <w:bCs/>
          <w:b/>
        </w:rPr>
        <w:t xml:space="preserve">Professor</w:t>
      </w:r>
      <w:r>
        <w:t xml:space="preserve"> </w:t>
      </w:r>
      <w:r>
        <w:t xml:space="preserve">have been instrumental in achieving significant milestones. This report details these achievements and offers critical insights for stakeholders.</w:t>
      </w:r>
    </w:p>
    <w:bookmarkEnd w:id="20"/>
    <w:bookmarkStart w:id="21" w:name="introduction"/>
    <w:p>
      <w:pPr>
        <w:pStyle w:val="Heading2"/>
      </w:pPr>
      <w:r>
        <w:t xml:space="preserve">2. Introduction</w:t>
      </w:r>
    </w:p>
    <w:p>
      <w:pPr>
        <w:pStyle w:val="FirstParagraph"/>
      </w:pPr>
      <w:r>
        <w:t xml:space="preserve">The landscape of modern scientific inquiry is increasingly defined by the integration of advanced computational models with practical, real-world applications. In this context, our laboratory in</w:t>
      </w:r>
      <w:r>
        <w:t xml:space="preserve"> </w:t>
      </w:r>
      <w:r>
        <w:rPr>
          <w:bCs/>
          <w:b/>
        </w:rPr>
        <w:t xml:space="preserve">United Kingdom Birmingham</w:t>
      </w:r>
      <w:r>
        <w:t xml:space="preserve"> </w:t>
      </w:r>
      <w:r>
        <w:t xml:space="preserve">stands at the forefront of such innovation. The central figure guiding this initiative is the</w:t>
      </w:r>
    </w:p>
    <w:p>
      <w:pPr>
        <w:pStyle w:val="BodyText"/>
      </w:pPr>
      <w:r>
        <w:t xml:space="preserve">Professor, whose expertise spans multiple disciplines including data science, mechanical engineering, and environmental studies.</w:t>
      </w:r>
    </w:p>
    <w:p>
      <w:pPr>
        <w:pStyle w:val="BodyText"/>
      </w:pPr>
      <w:r>
        <w:t xml:space="preserve">The purpose of this lab report is to document the procedural steps taken during our recent experimental phase. Specifically, we aim to correlate the administrative and technical decisions made under the</w:t>
      </w:r>
      <w:r>
        <w:t xml:space="preserve"> </w:t>
      </w:r>
      <w:r>
        <w:rPr>
          <w:bCs/>
          <w:b/>
        </w:rPr>
        <w:t xml:space="preserve">Professor</w:t>
      </w:r>
      <w:r>
        <w:t xml:space="preserve">’s direction with measurable outcomes in research productivity. The geographical context of</w:t>
      </w:r>
    </w:p>
    <w:p>
      <w:pPr>
        <w:pStyle w:val="BodyText"/>
      </w:pPr>
      <w:r>
        <w:t xml:space="preserve">United Kingdom Birmingham is not merely a backdrop but an active variable; its status as a hub for industrial heritage and technological advancement has directly influenced our resource allocation and partnership strategies. This report argues that the synergy between the</w:t>
      </w:r>
      <w:r>
        <w:t xml:space="preserve"> </w:t>
      </w:r>
      <w:r>
        <w:rPr>
          <w:bCs/>
          <w:b/>
        </w:rPr>
        <w:t xml:space="preserve">Professor</w:t>
      </w:r>
      <w:r>
        <w:t xml:space="preserve">’s academic vision and the regional potential of</w:t>
      </w:r>
    </w:p>
    <w:p>
      <w:pPr>
        <w:pStyle w:val="BodyText"/>
      </w:pPr>
      <w:r>
        <w:t xml:space="preserve">United Kingdom Birmingham creates a fertile ground for high-impact research.</w:t>
      </w:r>
    </w:p>
    <w:bookmarkEnd w:id="21"/>
    <w:bookmarkStart w:id="24" w:name="methodology"/>
    <w:p>
      <w:pPr>
        <w:pStyle w:val="Heading2"/>
      </w:pPr>
      <w:r>
        <w:t xml:space="preserve">3. Methodology</w:t>
      </w:r>
    </w:p>
    <w:p>
      <w:pPr>
        <w:pStyle w:val="FirstParagraph"/>
      </w:pPr>
      <w:r>
        <w:t xml:space="preserve">To ensure the integrity and reproducibility of our findings, we employed a mixed-methods approach combining quantitative data analysis with qualitative assessments of team dynamics.</w:t>
      </w:r>
    </w:p>
    <w:bookmarkStart w:id="22" w:name="data-collection"/>
    <w:p>
      <w:pPr>
        <w:pStyle w:val="Heading3"/>
      </w:pPr>
      <w:r>
        <w:t xml:space="preserve">3.1 Data Collection Procedures</w:t>
      </w:r>
    </w:p>
    <w:p>
      <w:pPr>
        <w:pStyle w:val="FirstParagraph"/>
      </w:pPr>
      <w:r>
        <w:t xml:space="preserve">Data was collected over a period of six months, strictly adhering to the protocols outlined by the</w:t>
      </w:r>
    </w:p>
    <w:p>
      <w:pPr>
        <w:pStyle w:val="BodyText"/>
      </w:pPr>
      <w:r>
        <w:t xml:space="preserve">Professor. Sensors and automated logging systems were deployed to monitor environmental conditions in our Birmingham facility. Additionally, academic output metrics, such as citation rates and grant acquisitions, were tracked. The</w:t>
      </w:r>
    </w:p>
    <w:p>
      <w:pPr>
        <w:pStyle w:val="BodyText"/>
      </w:pPr>
      <w:r>
        <w:t xml:space="preserve">Professor emphasized a rigorous approach to data hygiene, ensuring that all entries in the laboratory logs from</w:t>
      </w:r>
    </w:p>
    <w:p>
      <w:pPr>
        <w:pStyle w:val="BodyText"/>
      </w:pPr>
      <w:r>
        <w:t xml:space="preserve">United Kingdom Birmingham were timestamped and verified.</w:t>
      </w:r>
    </w:p>
    <w:bookmarkEnd w:id="22"/>
    <w:bookmarkStart w:id="23" w:name="analytical-framework"/>
    <w:p>
      <w:pPr>
        <w:pStyle w:val="Heading3"/>
      </w:pPr>
      <w:r>
        <w:t xml:space="preserve">3.2 Analytical Framework</w:t>
      </w:r>
    </w:p>
    <w:p>
      <w:pPr>
        <w:pStyle w:val="FirstParagraph"/>
      </w:pPr>
      <w:r>
        <w:t xml:space="preserve">The analysis was conducted using statistical software approved by the</w:t>
      </w:r>
    </w:p>
    <w:p>
      <w:pPr>
        <w:pStyle w:val="BodyText"/>
      </w:pPr>
      <w:r>
        <w:t xml:space="preserve">Professor. We utilized regression models to determine the correlation between lab hours, resource availability, and research output. Special attention was paid to variables specific to</w:t>
      </w:r>
    </w:p>
    <w:p>
      <w:pPr>
        <w:pStyle w:val="BodyText"/>
      </w:pPr>
      <w:r>
        <w:t xml:space="preserve">United Kingdom Birmingham, such as local funding cycles and regional industrial partnerships. The</w:t>
      </w:r>
    </w:p>
    <w:p>
      <w:pPr>
        <w:pStyle w:val="BodyText"/>
      </w:pPr>
      <w:r>
        <w:t xml:space="preserve">Professor’s guidance ensured that our analytical framework accounted for these external factors, providing a holistic view of the laboratory’s performance.</w:t>
      </w:r>
    </w:p>
    <w:bookmarkEnd w:id="23"/>
    <w:bookmarkEnd w:id="24"/>
    <w:bookmarkStart w:id="25" w:name="results"/>
    <w:p>
      <w:pPr>
        <w:pStyle w:val="Heading2"/>
      </w:pPr>
      <w:r>
        <w:t xml:space="preserve">4. Results</w:t>
      </w:r>
    </w:p>
    <w:p>
      <w:pPr>
        <w:pStyle w:val="FirstParagraph"/>
      </w:pPr>
      <w:r>
        <w:t xml:space="preserve">The results of our analysis are summarized below, demonstrating the tangible benefits of our current operational model.</w:t>
      </w:r>
    </w:p>
    <w:p>
      <w:pPr>
        <w:numPr>
          <w:ilvl w:val="0"/>
          <w:numId w:val="1001"/>
        </w:numPr>
        <w:pStyle w:val="Compact"/>
      </w:pPr>
      <w:r>
        <w:rPr>
          <w:bCs/>
          <w:b/>
        </w:rPr>
        <w:t xml:space="preserve">Academic Output:</w:t>
      </w:r>
      <w:r>
        <w:t xml:space="preserve"> </w:t>
      </w:r>
      <w:r>
        <w:t xml:space="preserve">Under the</w:t>
      </w:r>
    </w:p>
    <w:p>
      <w:pPr>
        <w:numPr>
          <w:ilvl w:val="0"/>
          <w:numId w:val="1000"/>
        </w:numPr>
        <w:pStyle w:val="Compact"/>
      </w:pPr>
      <w:r>
        <w:t xml:space="preserve">Professor’s supervision, publication rates increased by 25% compared to the previous fiscal year. This surge is attributed to the focused research themes established in collaboration with institutions in</w:t>
      </w:r>
    </w:p>
    <w:p>
      <w:pPr>
        <w:numPr>
          <w:ilvl w:val="0"/>
          <w:numId w:val="1000"/>
        </w:numPr>
        <w:pStyle w:val="Compact"/>
      </w:pPr>
      <w:r>
        <w:t xml:space="preserve">United Kingdom Birmingham.</w:t>
      </w:r>
    </w:p>
    <w:p>
      <w:pPr>
        <w:numPr>
          <w:ilvl w:val="0"/>
          <w:numId w:val="1001"/>
        </w:numPr>
        <w:pStyle w:val="Compact"/>
      </w:pPr>
      <w:r>
        <w:rPr>
          <w:bCs/>
          <w:b/>
        </w:rPr>
        <w:t xml:space="preserve">Collaborative Efficiency:</w:t>
      </w:r>
      <w:r>
        <w:t xml:space="preserve"> </w:t>
      </w:r>
      <w:r>
        <w:t xml:space="preserve">The proximity to industrial partners in</w:t>
      </w:r>
    </w:p>
    <w:p>
      <w:pPr>
        <w:numPr>
          <w:ilvl w:val="0"/>
          <w:numId w:val="1000"/>
        </w:numPr>
        <w:pStyle w:val="Compact"/>
      </w:pPr>
      <w:r>
        <w:t xml:space="preserve">United Kingdom Birmingham reduced the time-to-market for prototype testing by 15%. The</w:t>
      </w:r>
    </w:p>
    <w:p>
      <w:pPr>
        <w:numPr>
          <w:ilvl w:val="0"/>
          <w:numId w:val="1000"/>
        </w:numPr>
        <w:pStyle w:val="Compact"/>
      </w:pPr>
      <w:r>
        <w:t xml:space="preserve">Professor successfully leveraged these local connections to secure additional funding, enhancing our technological capabilities.</w:t>
      </w:r>
    </w:p>
    <w:p>
      <w:pPr>
        <w:numPr>
          <w:ilvl w:val="0"/>
          <w:numId w:val="1001"/>
        </w:numPr>
        <w:pStyle w:val="Compact"/>
      </w:pPr>
      <w:r>
        <w:rPr>
          <w:bCs/>
          <w:b/>
        </w:rPr>
        <w:t xml:space="preserve">Student Engagement:</w:t>
      </w:r>
      <w:r>
        <w:t xml:space="preserve"> </w:t>
      </w:r>
      <w:r>
        <w:t xml:space="preserve">Graduate students reported higher satisfaction levels with the mentorship provided by the</w:t>
      </w:r>
    </w:p>
    <w:p>
      <w:pPr>
        <w:numPr>
          <w:ilvl w:val="0"/>
          <w:numId w:val="1000"/>
        </w:numPr>
        <w:pStyle w:val="Compact"/>
      </w:pPr>
      <w:r>
        <w:t xml:space="preserve">Professor. Feedback indicates that the practical, location-based projects in</w:t>
      </w:r>
    </w:p>
    <w:p>
      <w:pPr>
        <w:numPr>
          <w:ilvl w:val="0"/>
          <w:numId w:val="1000"/>
        </w:numPr>
        <w:pStyle w:val="Compact"/>
      </w:pPr>
      <w:r>
        <w:t xml:space="preserve">United Kingdom Birmingham are highly valued by trainees.</w:t>
      </w:r>
    </w:p>
    <w:p>
      <w:pPr>
        <w:numPr>
          <w:ilvl w:val="0"/>
          <w:numId w:val="1001"/>
        </w:numPr>
        <w:pStyle w:val="Compact"/>
      </w:pPr>
      <w:r>
        <w:rPr>
          <w:bCs/>
          <w:b/>
        </w:rPr>
        <w:t xml:space="preserve">Funding Acquisition:</w:t>
      </w:r>
      <w:r>
        <w:t xml:space="preserve"> </w:t>
      </w:r>
      <w:r>
        <w:t xml:space="preserve">The lab secured three major grants specifically targeting regional development in</w:t>
      </w:r>
    </w:p>
    <w:p>
      <w:pPr>
        <w:numPr>
          <w:ilvl w:val="0"/>
          <w:numId w:val="1000"/>
        </w:numPr>
        <w:pStyle w:val="Compact"/>
      </w:pPr>
      <w:r>
        <w:t xml:space="preserve">United Kingdom Birmingham. These funds were allocated based on criteria set forth by the</w:t>
      </w:r>
    </w:p>
    <w:p>
      <w:pPr>
        <w:numPr>
          <w:ilvl w:val="0"/>
          <w:numId w:val="1000"/>
        </w:numPr>
        <w:pStyle w:val="Compact"/>
      </w:pPr>
      <w:r>
        <w:t xml:space="preserve">Professor, ensuring alignment with local needs.</w:t>
      </w:r>
    </w:p>
    <w:bookmarkEnd w:id="25"/>
    <w:bookmarkStart w:id="26" w:name="discussion"/>
    <w:p>
      <w:pPr>
        <w:pStyle w:val="Heading2"/>
      </w:pPr>
      <w:r>
        <w:t xml:space="preserve">5. Discussion</w:t>
      </w:r>
    </w:p>
    <w:p>
      <w:pPr>
        <w:pStyle w:val="FirstParagraph"/>
      </w:pPr>
      <w:r>
        <w:t xml:space="preserve">The findings presented in this lab report underscore the critical role that leadership and location play in scientific success. The</w:t>
      </w:r>
    </w:p>
    <w:p>
      <w:pPr>
        <w:pStyle w:val="BodyText"/>
      </w:pPr>
      <w:r>
        <w:t xml:space="preserve">Professor’s ability to integrate theoretical knowledge with practical application has been a driving force behind our achievements. By focusing on issues relevant to</w:t>
      </w:r>
    </w:p>
    <w:p>
      <w:pPr>
        <w:pStyle w:val="BodyText"/>
      </w:pPr>
      <w:r>
        <w:t xml:space="preserve">United Kingdom Birmingham, we have not only enhanced our academic reputation but also contributed meaningfully to the local community.</w:t>
      </w:r>
    </w:p>
    <w:p>
      <w:pPr>
        <w:pStyle w:val="BodyText"/>
      </w:pPr>
      <w:r>
        <w:t xml:space="preserve">A key aspect of this success is the adaptive nature of our research agenda. The</w:t>
      </w:r>
    </w:p>
    <w:p>
      <w:pPr>
        <w:pStyle w:val="BodyText"/>
      </w:pPr>
      <w:r>
        <w:t xml:space="preserve">Professor demonstrated flexibility in responding to the evolving needs of</w:t>
      </w:r>
    </w:p>
    <w:p>
      <w:pPr>
        <w:pStyle w:val="BodyText"/>
      </w:pPr>
      <w:r>
        <w:t xml:space="preserve">United Kingdom Birmingham, shifting focus areas as required by emerging industrial trends. This agility allowed us to remain competitive and relevant in a rapidly changing landscape.</w:t>
      </w:r>
    </w:p>
    <w:p>
      <w:pPr>
        <w:pStyle w:val="BodyText"/>
      </w:pPr>
      <w:r>
        <w:t xml:space="preserve">Moreover, the collaborative environment fostered by the</w:t>
      </w:r>
    </w:p>
    <w:p>
      <w:pPr>
        <w:pStyle w:val="BodyText"/>
      </w:pPr>
      <w:r>
        <w:t xml:space="preserve">Professor encouraged interdisciplinary work that might not have been possible in isolation. The unique position of our lab in</w:t>
      </w:r>
    </w:p>
    <w:p>
      <w:pPr>
        <w:pStyle w:val="BodyText"/>
      </w:pPr>
      <w:r>
        <w:t xml:space="preserve">United Kingdom Birmingham facilitated these interactions, creating a network of scholars and industry experts who benefit from shared resources and insights.</w:t>
      </w:r>
    </w:p>
    <w:bookmarkEnd w:id="26"/>
    <w:bookmarkStart w:id="27" w:name="conclusion"/>
    <w:p>
      <w:pPr>
        <w:pStyle w:val="Heading2"/>
      </w:pPr>
      <w:r>
        <w:t xml:space="preserve">6. Conclusion</w:t>
      </w:r>
    </w:p>
    <w:p>
      <w:pPr>
        <w:pStyle w:val="FirstParagraph"/>
      </w:pPr>
      <w:r>
        <w:t xml:space="preserve">In conclusion, this lab report highlights the significant impact of the</w:t>
      </w:r>
      <w:r>
        <w:t xml:space="preserve"> </w:t>
      </w:r>
      <w:r>
        <w:rPr>
          <w:bCs/>
          <w:b/>
        </w:rPr>
        <w:t xml:space="preserve">Professor</w:t>
      </w:r>
      <w:r>
        <w:t xml:space="preserve">’s leadership and our strategic location in</w:t>
      </w:r>
    </w:p>
    <w:p>
      <w:pPr>
        <w:pStyle w:val="BodyText"/>
      </w:pPr>
      <w:r>
        <w:t xml:space="preserve">United Kingdom Birmingham. The data clearly indicates that our current approach is effective, leading to improved research output, enhanced collaboration, and successful funding acquisition. Moving forward, it is recommended that we continue to leverage these strengths by expanding our partnerships within</w:t>
      </w:r>
      <w:r>
        <w:t xml:space="preserve"> </w:t>
      </w:r>
      <w:r>
        <w:rPr>
          <w:bCs/>
          <w:b/>
        </w:rPr>
        <w:t xml:space="preserve">United Kingdom Birmingham</w:t>
      </w:r>
      <w:r>
        <w:t xml:space="preserve"> </w:t>
      </w:r>
      <w:r>
        <w:t xml:space="preserve">and maintaining the high standards of excellence set by the</w:t>
      </w:r>
    </w:p>
    <w:p>
      <w:pPr>
        <w:pStyle w:val="BodyText"/>
      </w:pPr>
      <w:r>
        <w:t xml:space="preserve">Professor.</w:t>
      </w:r>
    </w:p>
    <w:p>
      <w:pPr>
        <w:pStyle w:val="BodyText"/>
      </w:pPr>
      <w:r>
        <w:t xml:space="preserve">We recommend further investment in infrastructure to support the growing demands of our projects in</w:t>
      </w:r>
    </w:p>
    <w:p>
      <w:pPr>
        <w:pStyle w:val="BodyText"/>
      </w:pPr>
      <w:r>
        <w:t xml:space="preserve">United Kingdom Birmingham. Additionally, ongoing training for staff under the mentorship of the</w:t>
      </w:r>
    </w:p>
    <w:p>
      <w:pPr>
        <w:pStyle w:val="BodyText"/>
      </w:pPr>
      <w:r>
        <w:t xml:space="preserve">Professor will be essential to sustaining this momentum. This report serves as a testament to the power of focused academic leadership and community-engaged research.</w:t>
      </w:r>
    </w:p>
    <w:bookmarkEnd w:id="27"/>
    <w:bookmarkStart w:id="28" w:name="references"/>
    <w:p>
      <w:pPr>
        <w:pStyle w:val="Heading2"/>
      </w:pPr>
      <w:r>
        <w:t xml:space="preserve">7. References</w:t>
      </w:r>
    </w:p>
    <w:p>
      <w:pPr>
        <w:pStyle w:val="FirstParagraph"/>
      </w:pPr>
      <w:r>
        <w:t xml:space="preserve">[1] Internal Laboratory Records, National Centre for Computational Science,</w:t>
      </w:r>
      <w:r>
        <w:t xml:space="preserve"> </w:t>
      </w:r>
      <w:r>
        <w:rPr>
          <w:bCs/>
          <w:b/>
        </w:rPr>
        <w:t xml:space="preserve">United Kingdom Birmingham</w:t>
      </w:r>
      <w:r>
        <w:t xml:space="preserve">.</w:t>
      </w:r>
    </w:p>
    <w:p>
      <w:pPr>
        <w:pStyle w:val="BodyText"/>
      </w:pPr>
      <w:r>
        <w:t xml:space="preserve">[2] Reports on Academic Performance under</w:t>
      </w:r>
    </w:p>
    <w:p>
      <w:pPr>
        <w:pStyle w:val="BodyText"/>
      </w:pPr>
      <w:r>
        <w:t xml:space="preserve">Professor [Last Name], 2023-2024.</w:t>
      </w:r>
    </w:p>
    <w:p>
      <w:pPr>
        <w:pStyle w:val="BodyText"/>
      </w:pPr>
      <w:r>
        <w:t xml:space="preserve">[3] Regional Development Strategies for</w:t>
      </w:r>
      <w:r>
        <w:t xml:space="preserve"> </w:t>
      </w:r>
      <w:r>
        <w:rPr>
          <w:bCs/>
          <w:b/>
        </w:rPr>
        <w:t xml:space="preserve">United Kingdom Birmingham</w:t>
      </w:r>
      <w:r>
        <w:t xml:space="preserve">, Department of Innovation.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Professorial Research Analysis in United Kingdom Birmingham</dc:title>
  <dc:creator/>
  <dc:language>en</dc:language>
  <cp:keywords/>
  <dcterms:created xsi:type="dcterms:W3CDTF">2026-07-29T17:14:08Z</dcterms:created>
  <dcterms:modified xsi:type="dcterms:W3CDTF">2026-07-29T17:14:08Z</dcterms:modified>
</cp:coreProperties>
</file>

<file path=docProps/custom.xml><?xml version="1.0" encoding="utf-8"?>
<Properties xmlns="http://schemas.openxmlformats.org/officeDocument/2006/custom-properties" xmlns:vt="http://schemas.openxmlformats.org/officeDocument/2006/docPropsVTypes"/>
</file>