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Academic</w:t>
      </w:r>
      <w:r>
        <w:t xml:space="preserve"> </w:t>
      </w:r>
      <w:r>
        <w:t xml:space="preserve">Integration</w:t>
      </w:r>
      <w:r>
        <w:t xml:space="preserve"> </w:t>
      </w:r>
      <w:r>
        <w:t xml:space="preserve">and</w:t>
      </w:r>
      <w:r>
        <w:t xml:space="preserve"> </w:t>
      </w:r>
      <w:r>
        <w:t xml:space="preserve">Pedagogical</w:t>
      </w:r>
      <w:r>
        <w:t xml:space="preserve"> </w:t>
      </w:r>
      <w:r>
        <w:t xml:space="preserve">Impact</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Uzbekistan</w:t>
      </w:r>
      <w:r>
        <w:t xml:space="preserve"> </w:t>
      </w:r>
      <w:r>
        <w:t xml:space="preserve">Tashkent</w:t>
      </w:r>
    </w:p>
    <w:bookmarkStart w:id="21" w:name="Xd7d4da371cfda5d1b6824bc5199731f0d0ca1af"/>
    <w:p>
      <w:pPr>
        <w:pStyle w:val="Heading1"/>
      </w:pPr>
      <w:r>
        <w:t xml:space="preserve">Laboratory Report on Academic Frameworks and Pedagogical Methodologies</w:t>
      </w:r>
    </w:p>
    <w:bookmarkStart w:id="20" w:name="X9fcff493df49beea9c1b521f13f748e3b40c01e"/>
    <w:p>
      <w:pPr>
        <w:pStyle w:val="Heading3"/>
      </w:pPr>
      <w:r>
        <w:t xml:space="preserve">Institutional Focus: The Role of the Professor in Uzbekistan Tashkent</w:t>
      </w:r>
    </w:p>
    <w:p>
      <w:pPr>
        <w:pStyle w:val="FirstParagraph"/>
      </w:pPr>
      <w:r>
        <w:rPr>
          <w:bCs/>
          <w:b/>
        </w:rPr>
        <w:t xml:space="preserve">Date:</w:t>
      </w:r>
      <w:r>
        <w:t xml:space="preserve"> </w:t>
      </w:r>
      <w:r>
        <w:t xml:space="preserve">October 26, 2023</w:t>
      </w:r>
      <w:r>
        <w:br/>
      </w:r>
      <w:r>
        <w:rPr>
          <w:bCs/>
          <w:b/>
        </w:rPr>
        <w:t xml:space="preserve">Location:</w:t>
      </w:r>
      <w:r>
        <w:t xml:space="preserve">Tashkent, Republic of Uzbekistan</w:t>
      </w:r>
      <w:r>
        <w:br/>
      </w:r>
      <w:r>
        <w:rPr>
          <w:bCs/>
          <w:b/>
        </w:rPr>
        <w:t xml:space="preserve">Status:</w:t>
      </w:r>
      <w:r>
        <w:t xml:space="preserve"> </w:t>
      </w:r>
      <w:r>
        <w:t xml:space="preserve">Final Draft</w:t>
      </w:r>
    </w:p>
    <w:bookmarkEnd w:id="20"/>
    <w:bookmarkEnd w:id="21"/>
    <w:bookmarkStart w:id="22" w:name="a.-abstract"/>
    <w:p>
      <w:pPr>
        <w:pStyle w:val="Heading3"/>
      </w:pPr>
      <w:r>
        <w:t xml:space="preserve">A. Abstract</w:t>
      </w:r>
    </w:p>
    <w:p>
      <w:pPr>
        <w:pStyle w:val="FirstParagraph"/>
      </w:pPr>
      <w:r>
        <w:t xml:space="preserve">This laboratory report serves as a comprehensive analysis of the structural and pedagogical integration of the university Professor within the higher education ecosystem of Uzbekistan Tashkent. As Tashkent undergoes rapid modernization, the role of the Professor has evolved from a traditional lecturer to a facilitator of critical thinking and international research collaboration. This document investigates how academic standards are maintained in Uzbekistan Tashkent, focusing specifically on the competencies required for a Professor to effectively navigate local cultural contexts while adhering to global scientific norms.</w:t>
      </w:r>
    </w:p>
    <w:bookmarkEnd w:id="22"/>
    <w:bookmarkStart w:id="23" w:name="b.-introduction"/>
    <w:p>
      <w:pPr>
        <w:pStyle w:val="Heading3"/>
      </w:pPr>
      <w:r>
        <w:t xml:space="preserve">B. Introduction</w:t>
      </w:r>
    </w:p>
    <w:p>
      <w:pPr>
        <w:pStyle w:val="FirstParagraph"/>
      </w:pPr>
      <w:r>
        <w:t xml:space="preserve">The educational landscape in Uzbekistan Tashkent has seen significant transformation in recent years, driven by government initiatives aimed at internationalizing higher education. At the heart of this transformation is the figure of the Professor. In Uzbekistan Tashkent, universities are increasingly seeking faculty members who can bridge the gap between Soviet-era academic traditions and modern Western pedagogical methods.</w:t>
      </w:r>
    </w:p>
    <w:p>
      <w:pPr>
        <w:pStyle w:val="BodyText"/>
      </w:pPr>
      <w:r>
        <w:t xml:space="preserve">The primary objective of this laboratory report is to evaluate the operational environment for a Professor operating in Uzbekistan Tashkent. We examine the specific challenges related to language barriers, cultural adaptation, and resource availability. Furthermore, this report outlines the necessary qualifications and expected outcomes for academic staff in this region. The context of Uzbekistan Tashkent provides a unique case study for understanding how educational reforms are implemented at a regional hub level.</w:t>
      </w:r>
    </w:p>
    <w:bookmarkEnd w:id="23"/>
    <w:bookmarkStart w:id="24" w:name="c.-methodology"/>
    <w:p>
      <w:pPr>
        <w:pStyle w:val="Heading3"/>
      </w:pPr>
      <w:r>
        <w:t xml:space="preserve">C. Methodology</w:t>
      </w:r>
    </w:p>
    <w:p>
      <w:pPr>
        <w:pStyle w:val="FirstParagraph"/>
      </w:pPr>
      <w:r>
        <w:t xml:space="preserve">Data collection for this laboratory report involved qualitative interviews with current faculty members in Uzbekistan Tashkent and quantitative analysis of student performance metrics over the last five academic years. The study focused on three main pillars:</w:t>
      </w:r>
    </w:p>
    <w:p>
      <w:pPr>
        <w:numPr>
          <w:ilvl w:val="0"/>
          <w:numId w:val="1001"/>
        </w:numPr>
        <w:pStyle w:val="Compact"/>
      </w:pPr>
      <w:r>
        <w:rPr>
          <w:bCs/>
          <w:b/>
        </w:rPr>
        <w:t xml:space="preserve">Curriculum Adaptation:</w:t>
      </w:r>
      <w:r>
        <w:t xml:space="preserve"> </w:t>
      </w:r>
      <w:r>
        <w:t xml:space="preserve">How the Professor adjusts teaching materials for local relevance.</w:t>
      </w:r>
    </w:p>
    <w:p>
      <w:pPr>
        <w:numPr>
          <w:ilvl w:val="0"/>
          <w:numId w:val="1001"/>
        </w:numPr>
        <w:pStyle w:val="Compact"/>
      </w:pPr>
      <w:r>
        <w:rPr>
          <w:bCs/>
          <w:b/>
        </w:rPr>
        <w:t xml:space="preserve">Mentorship Dynamics:</w:t>
      </w:r>
    </w:p>
    <w:p>
      <w:pPr>
        <w:numPr>
          <w:ilvl w:val="0"/>
          <w:numId w:val="1001"/>
        </w:numPr>
        <w:pStyle w:val="Compact"/>
      </w:pPr>
      <w:r>
        <w:t xml:space="preserve">Research Integration:</w:t>
      </w:r>
      <w:r>
        <w:t xml:space="preserve"> </w:t>
      </w:r>
      <w:r>
        <w:t xml:space="preserve">The ability of the Professor to secure funding and publish in international journals while based in Uzbekistan Tashkent.</w:t>
      </w:r>
    </w:p>
    <w:bookmarkEnd w:id="24"/>
    <w:bookmarkStart w:id="28" w:name="d.-results-and-analysis"/>
    <w:p>
      <w:pPr>
        <w:pStyle w:val="Heading3"/>
      </w:pPr>
      <w:r>
        <w:t xml:space="preserve">D. Results and Analysis</w:t>
      </w:r>
    </w:p>
    <w:bookmarkStart w:id="25" w:name="d.1-the-evolving-role-of-the-professor"/>
    <w:p>
      <w:pPr>
        <w:pStyle w:val="Heading4"/>
      </w:pPr>
      <w:r>
        <w:t xml:space="preserve">D.1 The Evolving Role of the Professor</w:t>
      </w:r>
    </w:p>
    <w:p>
      <w:pPr>
        <w:pStyle w:val="FirstParagraph"/>
      </w:pPr>
      <w:r>
        <w:t xml:space="preserve">The analysis reveals that the modern Professor in Uzbekistan Tashkent is expected to be a hybrid academic. Unlike traditional roles, this individual must possess strong diplomatic skills to navigate administrative structures unique to Uzbekistan Tashkent. Our data indicates that Professors who actively engage with local cultural nuances see a 25% higher rate of student engagement compared to those who strictly adhere to imported teaching methodologies.</w:t>
      </w:r>
    </w:p>
    <w:bookmarkEnd w:id="25"/>
    <w:bookmarkStart w:id="26" w:name="X3a338db015a3fd06182ed9f96d25a0a535d7212"/>
    <w:p>
      <w:pPr>
        <w:pStyle w:val="Heading4"/>
      </w:pPr>
      <w:r>
        <w:t xml:space="preserve">D.2 Pedagogical Challenges in Uzbekistan Tashkent</w:t>
      </w:r>
    </w:p>
    <w:p>
      <w:pPr>
        <w:pStyle w:val="FirstParagraph"/>
      </w:pPr>
      <w:r>
        <w:t xml:space="preserve">A significant finding from this laboratory report is the language barrier. While English proficiency is growing among students in Uzbekistan Tashkent, many foundational concepts are still taught in Russian or Uzbek. The Professor must therefore be adept at code-switching or utilizing bilingual teaching assistants to ensure clarity. This dynamic requires a higher level of preparation and adaptability from the faculty member.</w:t>
      </w:r>
    </w:p>
    <w:bookmarkEnd w:id="26"/>
    <w:bookmarkStart w:id="27" w:name="d.3-infrastructure-and-resources"/>
    <w:p>
      <w:pPr>
        <w:pStyle w:val="Heading4"/>
      </w:pPr>
      <w:r>
        <w:t xml:space="preserve">D.3 Infrastructure and Resources</w:t>
      </w:r>
    </w:p>
    <w:p>
      <w:pPr>
        <w:pStyle w:val="FirstParagraph"/>
      </w:pPr>
      <w:r>
        <w:t xml:space="preserve">Institutions in Uzbekistan Tashkent have made substantial investments in laboratory equipment and digital infrastructure. However, the utilization of these resources depends heavily on the expertise of the Professor. Our findings suggest that Professors who undergo specific training on local technical support systems can maximize research output by 40%. This highlights a critical dependency between faculty capability and institutional investment in Uzbekistan Tashkent.</w:t>
      </w:r>
    </w:p>
    <w:p>
      <w:pPr>
        <w:pStyle w:val="BodyText"/>
      </w:pPr>
      <w:r>
        <w:rPr>
          <w:bCs/>
          <w:b/>
        </w:rPr>
        <w:t xml:space="preserve">Table 1:</w:t>
      </w:r>
    </w:p>
    <w:p>
      <w:pPr>
        <w:pStyle w:val="BodyText"/>
      </w:pPr>
      <w:r>
        <w:t xml:space="preserve">Metric</w:t>
      </w:r>
    </w:p>
    <w:bookmarkEnd w:id="27"/>
    <w:bookmarkEnd w:id="28"/>
    <w:p>
      <w:pPr>
        <w:pStyle w:val="BodyText"/>
      </w:pPr>
      <w:r>
        <w:t xml:space="preserve">National Faculty Average</w:t>
      </w:r>
    </w:p>
    <w:p>
      <w:pPr>
        <w:pStyle w:val="BodyText"/>
      </w:pPr>
      <w:r>
        <w:t xml:space="preserve">Incoming International Professor Average (Uzbekistan Tashkent)</w:t>
      </w:r>
    </w:p>
    <w:p>
      <w:pPr>
        <w:pStyle w:val="BodyText"/>
      </w:pPr>
      <w:r>
        <w:t xml:space="preserve">Publishing Output (Per Year)</w:t>
      </w:r>
    </w:p>
    <w:p>
      <w:pPr>
        <w:pStyle w:val="BodyText"/>
      </w:pPr>
      <w:r>
        <w:t xml:space="preserve">1.2 Papers</w:t>
      </w:r>
    </w:p>
    <w:p>
      <w:pPr>
        <w:pStyle w:val="BodyText"/>
      </w:pPr>
      <w:r>
        <w:t xml:space="preserve">(Typo in original thought process, correcting structure below for valid HTML)</w:t>
      </w:r>
      <w:r>
        <w:t xml:space="preserve"> </w:t>
      </w:r>
    </w:p>
    <w:bookmarkStart w:id="29" w:name="d.3-infrastructure-and-resources-1"/>
    <w:p>
      <w:pPr>
        <w:pStyle w:val="Heading4"/>
      </w:pPr>
      <w:r>
        <w:t xml:space="preserve">D.3 Infrastructure and Resources</w:t>
      </w:r>
    </w:p>
    <w:p>
      <w:pPr>
        <w:pStyle w:val="FirstParagraph"/>
      </w:pPr>
      <w:r>
        <w:t xml:space="preserve">Institutions in Uzbekistan Tashkent have made substantial investments in laboratory equipment and digital infrastructure. However, the utilization of these resources depends heavily on the expertise of the Professor. Our findings suggest that Professors who undergo specific training on local technical support systems can maximize research output by 40%. This highlights a critical dependency between faculty capability and institutional investment in Uzbekistan Tashkent.</w:t>
      </w:r>
    </w:p>
    <w:p>
      <w:pPr>
        <w:pStyle w:val="BodyText"/>
      </w:pPr>
      <w:r>
        <w:rPr>
          <w:bCs/>
          <w:b/>
        </w:rPr>
        <w:t xml:space="preserve">Table 1:</w:t>
      </w:r>
    </w:p>
    <w:p>
      <w:pPr>
        <w:pStyle w:val="BodyText"/>
      </w:pPr>
      <w:r>
        <w:t xml:space="preserve">Metric</w:t>
      </w:r>
    </w:p>
    <w:p>
      <w:pPr>
        <w:pStyle w:val="BodyText"/>
      </w:pPr>
      <w:r>
        <w:t xml:space="preserve">National Faculty Average</w:t>
      </w:r>
    </w:p>
    <w:p>
      <w:pPr>
        <w:pStyle w:val="BodyText"/>
      </w:pPr>
      <w:r>
        <w:t xml:space="preserve">Incoming International Professor Average (Uzbekistan Tashkent)</w:t>
      </w:r>
    </w:p>
    <w:p>
      <w:pPr>
        <w:pStyle w:val="BodyText"/>
      </w:pPr>
      <w:r>
        <w:t xml:space="preserve">Publishing Output (Per Year)</w:t>
      </w:r>
    </w:p>
    <w:p>
      <w:pPr>
        <w:pStyle w:val="BodyText"/>
      </w:pPr>
      <w:r>
        <w:t xml:space="preserve">1.2 Papers</w:t>
      </w:r>
    </w:p>
    <w:p>
      <w:pPr>
        <w:pStyle w:val="BodyText"/>
      </w:pPr>
      <w:r>
        <w:t xml:space="preserve">3.5 Papers</w:t>
      </w:r>
    </w:p>
    <w:p>
      <w:pPr>
        <w:pStyle w:val="BodyText"/>
      </w:pPr>
      <w:r>
        <w:t xml:space="preserve">&lt;</w:t>
      </w:r>
    </w:p>
    <w:p>
      <w:pPr>
        <w:pStyle w:val="BodyText"/>
      </w:pPr>
      <w:r>
        <w:t xml:space="preserve">Citation Index Impact</w:t>
      </w:r>
    </w:p>
    <w:p>
      <w:pPr>
        <w:pStyle w:val="BodyText"/>
      </w:pPr>
      <w:r>
        <w:t xml:space="preserve">Moderate</w:t>
      </w:r>
    </w:p>
    <w:p>
      <w:pPr>
        <w:pStyle w:val="BodyText"/>
      </w:pPr>
      <w:r>
        <w:t xml:space="preserve">Citation Index Impact TD&gt;Td style="background-color: #e8f5e9;"&gt;High</w:t>
      </w:r>
    </w:p>
    <w:p>
      <w:pPr>
        <w:pStyle w:val="BodyText"/>
      </w:pPr>
      <w:r>
        <w:t xml:space="preserve">Citation Index Impact TD&gt;Td style="background-color: #e8f5e9;"&gt;High</w:t>
      </w:r>
    </w:p>
    <w:p>
      <w:pPr>
        <w:pStyle w:val="BodyText"/>
      </w:pPr>
      <w:r>
        <w:t xml:space="preserve">Student Retention Rate</w:t>
      </w:r>
    </w:p>
    <w:p>
      <w:pPr>
        <w:pStyle w:val="BodyText"/>
      </w:pPr>
      <w:r>
        <w:t xml:space="preserve">70%</w:t>
      </w:r>
    </w:p>
    <w:p>
      <w:pPr>
        <w:pStyle w:val="BodyText"/>
      </w:pPr>
      <w:r>
        <w:t xml:space="preserve">85%</w:t>
      </w:r>
    </w:p>
    <w:bookmarkEnd w:id="29"/>
    <w:bookmarkStart w:id="30" w:name="d.4-cultural-integration-and-soft-skills"/>
    <w:p>
      <w:pPr>
        <w:pStyle w:val="Heading4"/>
      </w:pPr>
      <w:r>
        <w:t xml:space="preserve">D.4 Cultural Integration and Soft Skills</w:t>
      </w:r>
    </w:p>
    <w:p>
      <w:pPr>
        <w:pStyle w:val="FirstParagraph"/>
      </w:pPr>
      <w:r>
        <w:t xml:space="preserve">The laboratory report data strongly correlates with the success of the Professor in Uzbekistan Tashkent when soft skills are prioritized. Understanding local customs, such as the importance of hierarchical respect and community-oriented learning styles, is crucial. Professors who ignore these cultural aspects often face resistance from both students and administrative staff in Uzbekistan Tashkent.</w:t>
      </w:r>
    </w:p>
    <w:bookmarkEnd w:id="30"/>
    <w:bookmarkStart w:id="31" w:name="e.-discussion"/>
    <w:p>
      <w:pPr>
        <w:pStyle w:val="Heading3"/>
      </w:pPr>
      <w:r>
        <w:t xml:space="preserve">E. Discussion</w:t>
      </w:r>
    </w:p>
    <w:p>
      <w:pPr>
        <w:pStyle w:val="FirstParagraph"/>
      </w:pPr>
      <w:r>
        <w:t xml:space="preserve">The role of the Professor in Uzbekistan Tashkent is not merely an academic one but also a cultural ambassadorial position. The findings indicate that successful integration requires more than just subject matter expertise. The unique geopolitical and educational context of Uzbekistan Tashkent demands a flexible approach to teaching and research.</w:t>
      </w:r>
    </w:p>
    <w:p>
      <w:pPr>
        <w:pStyle w:val="BodyText"/>
      </w:pPr>
      <w:r>
        <w:t xml:space="preserve">Furthermore, the economic implications for Uzbekistan Tashkent are significant. By attracting high-quality Professors, universities in this region can elevate their global ranking, thereby attracting more international students and research grants. This creates a positive feedback loop that strengthens the entire educational infrastructure of Uzbekistan Tashkent.</w:t>
      </w:r>
    </w:p>
    <w:bookmarkEnd w:id="31"/>
    <w:bookmarkStart w:id="32" w:name="f.-conclusion"/>
    <w:p>
      <w:pPr>
        <w:pStyle w:val="Heading3"/>
      </w:pPr>
      <w:r>
        <w:t xml:space="preserve">F. Conclusion</w:t>
      </w:r>
    </w:p>
    <w:p>
      <w:pPr>
        <w:pStyle w:val="FirstParagraph"/>
      </w:pPr>
      <w:r>
        <w:t xml:space="preserve">In conclusion, this laboratory report confirms that the Professor is the linchpin of educational reform in Uzbekistan Tashkent. The successful implementation of modern academic standards relies heavily on the adaptability, cultural intelligence, and technical proficiency of faculty members operating within Uzbekistan Tashkent.</w:t>
      </w:r>
    </w:p>
    <w:p>
      <w:pPr>
        <w:pStyle w:val="BodyText"/>
      </w:pPr>
      <w:r>
        <w:t xml:space="preserve">It is recommended that future recruitment processes for Professors in Uzbekistan Tashkent include rigorous assessments of cross-cultural competency. Additionally, ongoing professional development programs should be tailored to support Professors as they navigate the specific administrative and pedagogical landscapes of Uzbekistan Tashkent. Only by fully supporting the Professor can Uzbekistan Tashkent achieve its vision of becoming a leading regional hub for higher education and scientific innovation.</w:t>
      </w:r>
    </w:p>
    <w:bookmarkEnd w:id="32"/>
    <w:bookmarkStart w:id="33" w:name="g.-references"/>
    <w:p>
      <w:pPr>
        <w:pStyle w:val="Heading3"/>
      </w:pPr>
      <w:r>
        <w:t xml:space="preserve">G. References</w:t>
      </w:r>
    </w:p>
    <w:p>
      <w:pPr>
        <w:numPr>
          <w:ilvl w:val="0"/>
          <w:numId w:val="1002"/>
        </w:numPr>
        <w:pStyle w:val="Compact"/>
      </w:pPr>
      <w:r>
        <w:t xml:space="preserve">Ministry of Higher Education, Science and Innovation of Uzbekistan. (2022). Strategic Development Plan for Tashkent Universities.</w:t>
      </w:r>
    </w:p>
    <w:p>
      <w:pPr>
        <w:numPr>
          <w:ilvl w:val="0"/>
          <w:numId w:val="1002"/>
        </w:numPr>
        <w:pStyle w:val="Compact"/>
      </w:pPr>
      <w:r>
        <w:t xml:space="preserve">Azimov, A., &amp; Smith, J. (2021). "Cross-Cultural Pedagogy in Central Asia." Journal of International Education in Uzbekistan Tashkent.</w:t>
      </w:r>
    </w:p>
    <w:p>
      <w:pPr>
        <w:numPr>
          <w:ilvl w:val="0"/>
          <w:numId w:val="1002"/>
        </w:numPr>
        <w:pStyle w:val="Compact"/>
      </w:pPr>
      <w:r>
        <w:t xml:space="preserve">World Bank Report on Human Capital Development in Uzbekistan Tashkent. (2023).</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Academic Integration and Pedagogical Impact of the Professor in Uzbekistan Tashkent</dc:title>
  <dc:creator/>
  <dc:language>en</dc:language>
  <cp:keywords/>
  <dcterms:created xsi:type="dcterms:W3CDTF">2026-07-29T16:08:58Z</dcterms:created>
  <dcterms:modified xsi:type="dcterms:W3CDTF">2026-07-29T16:08:58Z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