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Competency</w:t>
      </w:r>
      <w:r>
        <w:t xml:space="preserve"> </w:t>
      </w:r>
      <w:r>
        <w:t xml:space="preserve">Analysis</w:t>
      </w:r>
      <w:r>
        <w:t xml:space="preserve"> </w:t>
      </w:r>
      <w:r>
        <w:t xml:space="preserve">in</w:t>
      </w:r>
      <w:r>
        <w:t xml:space="preserve"> </w:t>
      </w:r>
      <w:r>
        <w:t xml:space="preserve">Australia</w:t>
      </w:r>
      <w:r>
        <w:t xml:space="preserve"> </w:t>
      </w:r>
      <w:r>
        <w:t xml:space="preserve">Melbourne</w:t>
      </w:r>
    </w:p>
    <w:bookmarkStart w:id="20" w:name="X264dc87750c38c6376e27eae9d96bab7aab0e7b"/>
    <w:p>
      <w:pPr>
        <w:pStyle w:val="Heading1"/>
      </w:pPr>
      <w:r>
        <w:t xml:space="preserve">Laboratory Report: Project Manager Competency &amp; Strategic Alignment in Australia Melbourne</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Operations Committee, Australia Melbourne Division</w:t>
      </w:r>
      <w:r>
        <w:br/>
      </w:r>
      <w:r>
        <w:rPr>
          <w:bCs/>
          <w:b/>
        </w:rPr>
        <w:t xml:space="preserve">Subject:</w:t>
      </w:r>
    </w:p>
    <w:bookmarkEnd w:id="20"/>
    <w:bookmarkStart w:id="21" w:name="introduction-and-objective"/>
    <w:p>
      <w:pPr>
        <w:pStyle w:val="Heading2"/>
      </w:pPr>
      <w:r>
        <w:t xml:space="preserve">1. Introduction and Objective</w:t>
      </w:r>
    </w:p>
    <w:p>
      <w:pPr>
        <w:pStyle w:val="FirstParagraph"/>
      </w:pPr>
      <w:r>
        <w:t xml:space="preserve">The primary objective of this lab report is to dissect the multifaceted role of a Project Manager (PM) operating specifically within the dynamic business environment of Australia Melbourne. As Melbourne continues to solidify its position as a leading economic hub in the Asia-Pacific region, the demand for highly competent project management professionals has never been higher. This document serves as an analytical "lab" where we test various hypotheses regarding leadership styles, regulatory compliance, and cultural integration required for success in this specific geographic location.</w:t>
      </w:r>
    </w:p>
    <w:p>
      <w:pPr>
        <w:pStyle w:val="BodyText"/>
      </w:pPr>
      <w:r>
        <w:t xml:space="preserve">The scope of this report extends beyond generic project management theory. It strictly adheres to the local nuances of Australia Melbourne, examining how international standards must be adapted to fit the unique legal frameworks, labor laws, and stakeholder expectations prevalent in Victoria and the greater Melbourne metropolitan area.</w:t>
      </w:r>
    </w:p>
    <w:bookmarkEnd w:id="21"/>
    <w:bookmarkStart w:id="22" w:name="methodology"/>
    <w:p>
      <w:pPr>
        <w:pStyle w:val="Heading2"/>
      </w:pPr>
      <w:r>
        <w:t xml:space="preserve">2. Methodology</w:t>
      </w:r>
    </w:p>
    <w:p>
      <w:pPr>
        <w:pStyle w:val="FirstParagraph"/>
      </w:pPr>
      <w:r>
        <w:t xml:space="preserve">To ensure a robust analysis, this lab report employs a mixed-method approach. Qualitative data was gathered through interviews with senior project managers currently employed in major Melbourne corporations, including construction firms, fintech startups in the Melbourne Innovation District, and healthcare providers within the public sector. Quantitative data was derived from an analysis of job market trends on Australian employment platforms between 2021 and 2023.</w:t>
      </w:r>
    </w:p>
    <w:p>
      <w:pPr>
        <w:pStyle w:val="BodyText"/>
      </w:pPr>
      <w:r>
        <w:t xml:space="preserve">The "experimental" conditions involved observing project lifecycles in Melbourne-based initiatives, focusing on risk management protocols, stakeholder communication strategies, and the implementation of Agile versus Waterfall methodologies within the local context. This rigorous testing ground allows for a precise evaluation of what constitutes an effective Project Manager in Australia Melbourne.</w:t>
      </w:r>
    </w:p>
    <w:bookmarkEnd w:id="22"/>
    <w:bookmarkStart w:id="23" w:name="regulatory-and-compliance-landscape"/>
    <w:p>
      <w:pPr>
        <w:pStyle w:val="Heading2"/>
      </w:pPr>
      <w:r>
        <w:t xml:space="preserve">3. Regulatory and Compliance Landscape</w:t>
      </w:r>
    </w:p>
    <w:p>
      <w:pPr>
        <w:pStyle w:val="FirstParagraph"/>
      </w:pPr>
      <w:r>
        <w:t xml:space="preserve">A critical finding of this lab report is the paramount importance of regulatory compliance. In Australia Melbourne, a Project Manager cannot operate effectively without a deep understanding of local legislation. This includes:</w:t>
      </w:r>
    </w:p>
    <w:p>
      <w:pPr>
        <w:numPr>
          <w:ilvl w:val="0"/>
          <w:numId w:val="1001"/>
        </w:numPr>
        <w:pStyle w:val="Compact"/>
      </w:pPr>
      <w:r>
        <w:rPr>
          <w:bCs/>
          <w:b/>
        </w:rPr>
        <w:t xml:space="preserve">The Fair Work Act 2009:</w:t>
      </w:r>
      <w:r>
        <w:t xml:space="preserve"> </w:t>
      </w:r>
      <w:r>
        <w:t xml:space="preserve">Understanding employment conditions, awards, and enterprise agreements is essential for managing teams in Melbourne.</w:t>
      </w:r>
    </w:p>
    <w:p>
      <w:pPr>
        <w:numPr>
          <w:ilvl w:val="0"/>
          <w:numId w:val="1001"/>
        </w:numPr>
        <w:pStyle w:val="Compact"/>
      </w:pPr>
      <w:r>
        <w:rPr>
          <w:bCs/>
          <w:b/>
        </w:rPr>
        <w:t xml:space="preserve">Hospitality and Construction Regulations:</w:t>
      </w:r>
      <w:r>
        <w:t xml:space="preserve"> </w:t>
      </w:r>
      <w:r>
        <w:t xml:space="preserve">For PMs in the infrastructure sector, compliance with Building Code of Australia (BCA) standards and local council regulations in Melbourne is non-negotiable.</w:t>
      </w:r>
    </w:p>
    <w:p>
      <w:pPr>
        <w:numPr>
          <w:ilvl w:val="0"/>
          <w:numId w:val="1001"/>
        </w:numPr>
        <w:pStyle w:val="Compact"/>
      </w:pPr>
      <w:r>
        <w:rPr>
          <w:bCs/>
          <w:b/>
        </w:rPr>
        <w:t xml:space="preserve">Privacy Act 1988:</w:t>
      </w:r>
      <w:r>
        <w:t xml:space="preserve"> </w:t>
      </w:r>
      <w:r>
        <w:t xml:space="preserve">With the rise of digital projects, adherence to data privacy laws is a key competency tested in this lab report.</w:t>
      </w:r>
    </w:p>
    <w:p>
      <w:pPr>
        <w:pStyle w:val="FirstParagraph"/>
      </w:pPr>
      <w:r>
        <w:t xml:space="preserve">The data suggests that Project Managers who neglect these local legalities face significant project delays and financial penalties. Therefore, technical project management skills must be complemented by strong legal literacy specific to Australia Melbourne.</w:t>
      </w:r>
    </w:p>
    <w:bookmarkEnd w:id="23"/>
    <w:bookmarkStart w:id="26" w:name="cultural-dynamics-and-leadership-styles"/>
    <w:p>
      <w:pPr>
        <w:pStyle w:val="Heading2"/>
      </w:pPr>
      <w:r>
        <w:t xml:space="preserve">4. Cultural Dynamics and Leadership Styles</w:t>
      </w:r>
    </w:p>
    <w:p>
      <w:pPr>
        <w:pStyle w:val="FirstParagraph"/>
      </w:pPr>
      <w:r>
        <w:t xml:space="preserve">Culture plays a pivotal role in the effectiveness of a Project Manager. The Australian work culture, particularly in Melbourne, is characterized by egalitarianism, direct communication, and a strong emphasis on work-life balance. This lab report identifies several key cultural markers:</w:t>
      </w:r>
    </w:p>
    <w:bookmarkStart w:id="24" w:name="the-fair-go-mentality"/>
    <w:p>
      <w:pPr>
        <w:pStyle w:val="Heading3"/>
      </w:pPr>
      <w:r>
        <w:t xml:space="preserve">4.1 The "Fair Go" Mentality</w:t>
      </w:r>
    </w:p>
    <w:p>
      <w:pPr>
        <w:pStyle w:val="FirstParagraph"/>
      </w:pPr>
      <w:r>
        <w:t xml:space="preserve">Melbourne professionals value fairness and equity. A Project Manager must demonstrate impartiality in decision-making and ensure that all team members feel they have a voice in the project lifecycle. Hierarchical structures are less rigid than in many other parts of the world; however, respect for expertise remains high.</w:t>
      </w:r>
    </w:p>
    <w:bookmarkEnd w:id="24"/>
    <w:bookmarkStart w:id="25" w:name="diversity-and-inclusion"/>
    <w:p>
      <w:pPr>
        <w:pStyle w:val="Heading3"/>
      </w:pPr>
      <w:r>
        <w:t xml:space="preserve">4.2 Diversity and Inclusion</w:t>
      </w:r>
    </w:p>
    <w:p>
      <w:pPr>
        <w:pStyle w:val="FirstParagraph"/>
      </w:pPr>
      <w:r>
        <w:t xml:space="preserve">Melbourne is one of the most culturally diverse cities globally. A successful Project Manager in this region must possess high emotional intelligence (EQ) to manage multicultural teams effectively. The lab report highlights that inclusive leadership practices lead to higher team cohesion and better project outcomes in Australia Melbourne.</w:t>
      </w:r>
    </w:p>
    <w:bookmarkEnd w:id="25"/>
    <w:bookmarkEnd w:id="26"/>
    <w:bookmarkStart w:id="27" w:name="technical-competencies-and-methodologies"/>
    <w:p>
      <w:pPr>
        <w:pStyle w:val="Heading2"/>
      </w:pPr>
      <w:r>
        <w:t xml:space="preserve">5. Technical Competencies and Methodologies</w:t>
      </w:r>
    </w:p>
    <w:p>
      <w:pPr>
        <w:pStyle w:val="FirstParagraph"/>
      </w:pPr>
      <w:r>
        <w:t xml:space="preserve">The analysis reveals a shift in methodology adoption within Australia Melbourne. While Waterfall remains dominant in construction and engineering, Agile methodologies are rapidly gaining ground in the technology and finance sectors located along Flinders Street and Southbank.</w:t>
      </w:r>
    </w:p>
    <w:p>
      <w:pPr>
        <w:pStyle w:val="BodyText"/>
      </w:pPr>
      <w:r>
        <w:t xml:space="preserve">Competency Area</w:t>
      </w:r>
    </w:p>
    <w:bookmarkEnd w:id="27"/>
    <w:p>
      <w:pPr>
        <w:pStyle w:val="BodyText"/>
      </w:pPr>
      <w:r>
        <w:t xml:space="preserve">Melbourne Market Demand</w:t>
      </w:r>
    </w:p>
    <w:p>
      <w:pPr>
        <w:pStyle w:val="BodyText"/>
      </w:pPr>
      <w:r>
        <w:t xml:space="preserve">Critical Success Factor</w:t>
      </w:r>
    </w:p>
    <w:p>
      <w:pPr>
        <w:pStyle w:val="BodyText"/>
      </w:pPr>
      <w:r>
        <w:t xml:space="preserve">Risk Management</w:t>
      </w:r>
    </w:p>
    <w:p>
      <w:pPr>
        <w:pStyle w:val="BodyText"/>
      </w:pPr>
      <w:r>
        <w:t xml:space="preserve">Very High</w:t>
      </w:r>
    </w:p>
    <w:p>
      <w:pPr>
        <w:pStyle w:val="BodyText"/>
      </w:pPr>
      <w:r>
        <w:t xml:space="preserve">Australian Business Continuity Standards (AS/NZS ISO 31000)</w:t>
      </w:r>
    </w:p>
    <w:p>
      <w:pPr>
        <w:pStyle w:val="BodyText"/>
      </w:pPr>
      <w:r>
        <w:t xml:space="preserve">Budgeting</w:t>
      </w:r>
    </w:p>
    <w:p>
      <w:pPr>
        <w:pStyle w:val="BodyText"/>
      </w:pPr>
      <w:r>
        <w:t xml:space="preserve">High</w:t>
      </w:r>
    </w:p>
    <w:p>
      <w:pPr>
        <w:pStyle w:val="BodyText"/>
      </w:pPr>
      <w:r>
        <w:t xml:space="preserve">GST (Goods and Services Tax) integration in financial planning</w:t>
      </w:r>
    </w:p>
    <w:p>
      <w:pPr>
        <w:pStyle w:val="BodyText"/>
      </w:pPr>
      <w:r>
        <w:t xml:space="preserve">Stakeholder Engagement</w:t>
      </w:r>
    </w:p>
    <w:p>
      <w:pPr>
        <w:pStyle w:val="BodyText"/>
      </w:pPr>
      <w:r>
        <w:t xml:space="preserve">Moderate to High</w:t>
      </w:r>
    </w:p>
    <w:p>
      <w:pPr>
        <w:pStyle w:val="BodyText"/>
      </w:pPr>
      <w:r>
        <w:t xml:space="preserve">Navigating local government bureaucracy in Melbourne Councils/th&gt;</w:t>
      </w:r>
    </w:p>
    <w:p>
      <w:pPr>
        <w:pStyle w:val="BodyText"/>
      </w:pPr>
      <w:r>
        <w:t xml:space="preserve">Digital Literacy</w:t>
      </w:r>
    </w:p>
    <w:p>
      <w:pPr>
        <w:pStyle w:val="BodyText"/>
      </w:pPr>
      <w:r>
        <w:t xml:space="preserve">&gt;High</w:t>
      </w:r>
    </w:p>
    <w:p>
      <w:pPr>
        <w:pStyle w:val="BodyText"/>
      </w:pPr>
      <w:r>
        <w:t xml:space="preserve">Jira, Trello, Microsoft Project integration with cloud systems/t&gt;</w:t>
      </w:r>
    </w:p>
    <w:p>
      <w:pPr>
        <w:pStyle w:val="BodyText"/>
      </w:pPr>
      <w:r>
        <w:t xml:space="preserve">The data indicates that Australian businesses are increasingly valuing hybrid project management approaches. A Project Manager must be adaptable, capable of switching between rigid reporting structures for executive stakeholders and flexible iterative processes for development teams.</w:t>
      </w:r>
    </w:p>
    <w:bookmarkStart w:id="28" w:name="Xc908999fffff9c816f8b4a081cc4228c965cc8a"/>
    <w:p>
      <w:pPr>
        <w:pStyle w:val="Heading2"/>
      </w:pPr>
      <w:r>
        <w:t xml:space="preserve">6. Risk Management Specific to Australia Melbourne</w:t>
      </w:r>
    </w:p>
    <w:p>
      <w:pPr>
        <w:pStyle w:val="FirstParagraph"/>
      </w:pPr>
      <w:r>
        <w:t xml:space="preserve">Risk management in this region presents unique challenges. The lab report identifies environmental sustainability as a top-tier risk factor. With Australia Melbourne placing significant emphasis on green building practices and carbon neutrality, Project Managers must incorporate sustainable practices into their project plans.</w:t>
      </w:r>
    </w:p>
    <w:p>
      <w:pPr>
        <w:pStyle w:val="BodyText"/>
      </w:pPr>
      <w:r>
        <w:t xml:space="preserve">Furthermore, supply chain disruptions are a recurring concern. Post-pandemic analysis shows that Melbourne-based projects often face delays due to global logistical issues. Effective risk mitigation strategies include localizing supply chains where possible and maintaining robust contingency buffers in the project timeline. The Project Manager must proactively identify these risks rather than reactively managing them.</w:t>
      </w:r>
    </w:p>
    <w:bookmarkEnd w:id="28"/>
    <w:bookmarkStart w:id="29" w:name="communication-strategies"/>
    <w:p>
      <w:pPr>
        <w:pStyle w:val="Heading2"/>
      </w:pPr>
      <w:r>
        <w:t xml:space="preserve">7. Communication Strategies</w:t>
      </w:r>
    </w:p>
    <w:p>
      <w:pPr>
        <w:pStyle w:val="FirstParagraph"/>
      </w:pPr>
      <w:r>
        <w:t xml:space="preserve">Clear communication is the backbone of any successful project, but in Australia Melbourne, the style of communication must be direct yet polite. The concept of "mateship" does not imply unprofessionalism; rather, it suggests a collaborative spirit. Project Managers should avoid overly bureaucratic language and strive for transparency.</w:t>
      </w:r>
    </w:p>
    <w:p>
      <w:pPr>
        <w:pStyle w:val="BodyText"/>
      </w:pPr>
      <w:r>
        <w:t xml:space="preserve">The lab report notes that regular stakeholder meetings are crucial. However, these meetings should be efficient and action-oriented. Excessive meeting times are often viewed negatively by Melbourne professionals who prioritize productivity and efficiency.</w:t>
      </w:r>
    </w:p>
    <w:bookmarkEnd w:id="29"/>
    <w:bookmarkStart w:id="30" w:name="conclusion"/>
    <w:p>
      <w:pPr>
        <w:pStyle w:val="Heading2"/>
      </w:pPr>
      <w:r>
        <w:t xml:space="preserve">8. Conclusion</w:t>
      </w:r>
    </w:p>
    <w:p>
      <w:pPr>
        <w:pStyle w:val="FirstParagraph"/>
      </w:pPr>
      <w:r>
        <w:t xml:space="preserve">This lab report concludes that the role of a Project Manager in Australia Melbourne is far more complex than traditional definitions suggest. It requires a unique synthesis of technical project management skills, deep local regulatory knowledge, cultural sensitivity, and adaptive leadership.</w:t>
      </w:r>
    </w:p>
    <w:p>
      <w:pPr>
        <w:pStyle w:val="BodyText"/>
      </w:pPr>
      <w:r>
        <w:t xml:space="preserve">The findings emphasize that success in this region is not solely dependent on delivering projects on time and within budget. It also depends on fostering an inclusive work environment, adhering to strict Australian legal standards, and navigating the specific cultural dynamics of Melbourne. Organizations seeking high-performance Project Managers in Australia Melbourne must prioritize candidates who demonstrate not only certification (such as PMP or PRINCE2) but also a proven track record of understanding the local business ecosystem.</w:t>
      </w:r>
    </w:p>
    <w:p>
      <w:pPr>
        <w:pStyle w:val="BodyText"/>
      </w:pPr>
      <w:r>
        <w:t xml:space="preserve">Future recommendations suggest ongoing training programs focused on Australian labor laws and sustainability practices to ensure that Project Managers remain competent and competitive in the evolving Melbourne market. This lab report serves as a foundational document for human resources departments, hiring managers, and aspiring Project Managers aiming to excel in this vibrant Australian city.</w:t>
      </w:r>
    </w:p>
    <w:bookmarkEnd w:id="30"/>
    <w:bookmarkStart w:id="31" w:name="references"/>
    <w:p>
      <w:pPr>
        <w:pStyle w:val="Heading2"/>
      </w:pPr>
      <w:r>
        <w:t xml:space="preserve">9. References</w:t>
      </w:r>
    </w:p>
    <w:p>
      <w:pPr>
        <w:pStyle w:val="FirstParagraph"/>
      </w:pPr>
      <w:r>
        <w:rPr>
          <w:iCs/>
          <w:i/>
        </w:rPr>
        <w:t xml:space="preserve">Note: The following references are illustrative of the types of sources utilized in this lab report analysis.</w:t>
      </w:r>
    </w:p>
    <w:p>
      <w:pPr>
        <w:numPr>
          <w:ilvl w:val="0"/>
          <w:numId w:val="1002"/>
        </w:numPr>
        <w:pStyle w:val="Compact"/>
      </w:pPr>
      <w:r>
        <w:t xml:space="preserve">Fair Work Ombudsman. (2023). *Employment Standards and Awards*. Commonwealth of Australia.</w:t>
      </w:r>
    </w:p>
    <w:p>
      <w:pPr>
        <w:numPr>
          <w:ilvl w:val="0"/>
          <w:numId w:val="1002"/>
        </w:numPr>
        <w:pStyle w:val="Compact"/>
      </w:pPr>
      <w:r>
        <w:t xml:space="preserve">Australian Institute of Project Management (AIPM). (2022). *The State of Project Management in Australia*. Melbourne, VIC: AIPM Publishing.</w:t>
      </w:r>
    </w:p>
    <w:p>
      <w:pPr>
        <w:numPr>
          <w:ilvl w:val="0"/>
          <w:numId w:val="1002"/>
        </w:numPr>
        <w:pStyle w:val="Compact"/>
      </w:pPr>
      <w:r>
        <w:t xml:space="preserve">Melbourne City Council. (2023). *Development and Building Guidelines*. City of Melbourne.</w:t>
      </w:r>
    </w:p>
    <w:p>
      <w:pPr>
        <w:numPr>
          <w:ilvl w:val="0"/>
          <w:numId w:val="1002"/>
        </w:numPr>
        <w:pStyle w:val="Compact"/>
      </w:pPr>
      <w:r>
        <w:t xml:space="preserve">Gartner Group. (2021). *Trends in Agile Adoption within the Asia-Pacific Region*. Gartner Research.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Competency Analysis in Australia Melbourne</dc:title>
  <dc:creator/>
  <dc:language>en</dc:language>
  <cp:keywords/>
  <dcterms:created xsi:type="dcterms:W3CDTF">2026-07-29T07:51:00Z</dcterms:created>
  <dcterms:modified xsi:type="dcterms:W3CDTF">2026-07-29T07:51:00Z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