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Iran</w:t>
      </w:r>
      <w:r>
        <w:t xml:space="preserve"> </w:t>
      </w:r>
      <w:r>
        <w:t xml:space="preserve">Tehran</w:t>
      </w:r>
    </w:p>
    <w:bookmarkStart w:id="20" w:name="X9303355d7330972f23ddec7ca2a3554ed0b2038"/>
    <w:p>
      <w:pPr>
        <w:pStyle w:val="Heading1"/>
      </w:pPr>
      <w:r>
        <w:t xml:space="preserve">Laboratory Report on Project Management Methodologies</w:t>
      </w:r>
    </w:p>
    <w:p>
      <w:pPr>
        <w:pStyle w:val="FirstParagraph"/>
      </w:pPr>
      <w:r>
        <w:rPr>
          <w:bCs/>
          <w:b/>
        </w:rPr>
        <w:t xml:space="preserve">Focal Region:</w:t>
      </w:r>
      <w:r>
        <w:t xml:space="preserve"> </w:t>
      </w:r>
      <w:r>
        <w:t xml:space="preserve">Iran, Tehran</w:t>
      </w:r>
    </w:p>
    <w:p>
      <w:pPr>
        <w:pStyle w:val="BodyText"/>
      </w:pPr>
      <w:r>
        <w:rPr>
          <w:bCs/>
          <w:b/>
        </w:rPr>
        <w:t xml:space="preserve">Date of Analysis:</w:t>
      </w:r>
    </w:p>
    <w:bookmarkEnd w:id="20"/>
    <w:p>
      <w:pPr>
        <w:numPr>
          <w:ilvl w:val="0"/>
          <w:numId w:val="1001"/>
        </w:numPr>
        <w:pStyle w:val="Compact"/>
      </w:pPr>
      <w:r>
        <w:rPr>
          <w:bCs/>
          <w:b/>
        </w:rPr>
        <w:t xml:space="preserve">Status:</w:t>
      </w:r>
      <w:r>
        <w:t xml:space="preserve"> </w:t>
      </w:r>
      <w:r>
        <w:t xml:space="preserve">Finalized</w:t>
      </w:r>
    </w:p>
    <w:p>
      <w:pPr>
        <w:numPr>
          <w:ilvl w:val="0"/>
          <w:numId w:val="1001"/>
        </w:numPr>
        <w:pStyle w:val="Compact"/>
      </w:pPr>
      <w:r>
        <w:rPr>
          <w:bCs/>
          <w:b/>
        </w:rPr>
        <w:t xml:space="preserve">Degree of Completion:</w:t>
      </w:r>
    </w:p>
    <w:bookmarkStart w:id="21" w:name="abstract"/>
    <w:p>
      <w:pPr>
        <w:pStyle w:val="Heading2"/>
      </w:pPr>
      <w:r>
        <w:t xml:space="preserve">Abstract</w:t>
      </w:r>
    </w:p>
    <w:p>
      <w:pPr>
        <w:pStyle w:val="FirstParagraph"/>
      </w:pPr>
      <w:r>
        <w:t xml:space="preserve">This laboratory report provides a comprehensive examination of the role, responsibilities, and operational constraints faced by a Project Manager operating within the unique socio-economic and cultural environment of Iran. Specifically focusing on the capital city, Tehran, this document analyzes how global project management standards must be adapted to local regulations, cultural expectations (Iranian culture), and technological infrastructure realities. The findings indicate that successful project leadership in Tehran requires a hybrid approach combining agile methodologies with strong hierarchical relationship building.</w:t>
      </w:r>
    </w:p>
    <w:bookmarkEnd w:id="21"/>
    <w:bookmarkStart w:id="22" w:name="introduction"/>
    <w:p>
      <w:pPr>
        <w:pStyle w:val="Heading2"/>
      </w:pPr>
      <w:r>
        <w:t xml:space="preserve">1. Introduction</w:t>
      </w:r>
    </w:p>
    <w:p>
      <w:pPr>
        <w:pStyle w:val="FirstParagraph"/>
      </w:pPr>
      <w:r>
        <w:t xml:space="preserve">The concept of the Project Manager is universal, yet its application is highly contextual. In the bustling metropolitan hub of Iran Tehran, project management operates under a distinct set of variables that differ significantly from Western corporate environments. This report aims to deconstruct these variables to understand how a Project Manager in Tehran can effectively deliver projects amidst complex bureaucratic landscapes and vibrant market dynamics.</w:t>
      </w:r>
    </w:p>
    <w:p>
      <w:pPr>
        <w:pStyle w:val="BodyText"/>
      </w:pPr>
      <w:r>
        <w:t xml:space="preserve">Tehran serves as the economic engine of Iran, hosting thousands of construction, IT, and manufacturing projects. However, the isolation from global banking systems (such as SWIFT) and varying import/export regulations create friction that a Project Manager must navigate daily. The objective of this study is to define best practices for bridging international standards with local Iranian realities.</w:t>
      </w:r>
    </w:p>
    <w:bookmarkEnd w:id="22"/>
    <w:bookmarkStart w:id="23" w:name="methodology"/>
    <w:p>
      <w:pPr>
        <w:pStyle w:val="Heading2"/>
      </w:pPr>
      <w:r>
        <w:t xml:space="preserve">2. Methodology</w:t>
      </w:r>
    </w:p>
    <w:p>
      <w:pPr>
        <w:pStyle w:val="FirstParagraph"/>
      </w:pPr>
      <w:r>
        <w:t xml:space="preserve">This analysis was conducted through a combination of literature review regarding the Iranian construction and technology sectors, interviews with mid-level managers currently operating in Tehran, and observation of local project management forums in Iran. Data was gathered specifically from districts within Tehran known for high-density development, such as Vanak and Tajrish.</w:t>
      </w:r>
    </w:p>
    <w:p>
      <w:pPr>
        <w:pStyle w:val="BodyText"/>
      </w:pPr>
      <w:r>
        <w:t xml:space="preserve">The study focused on three key pillars:</w:t>
      </w:r>
    </w:p>
    <w:p>
      <w:pPr>
        <w:numPr>
          <w:ilvl w:val="0"/>
          <w:numId w:val="1002"/>
        </w:numPr>
        <w:pStyle w:val="Compact"/>
      </w:pPr>
      <w:r>
        <w:rPr>
          <w:bCs/>
          <w:b/>
        </w:rPr>
        <w:t xml:space="preserve">Cultural Interpersonal Dynamics:</w:t>
      </w:r>
      <w:r>
        <w:t xml:space="preserve"> </w:t>
      </w:r>
      <w:r>
        <w:t xml:space="preserve">Understanding the importance of personal relationships (Taarof) in business negotiations.</w:t>
      </w:r>
    </w:p>
    <w:p>
      <w:pPr>
        <w:numPr>
          <w:ilvl w:val="0"/>
          <w:numId w:val="1002"/>
        </w:numPr>
        <w:pStyle w:val="Compact"/>
      </w:pPr>
      <w:r>
        <w:rPr>
          <w:bCs/>
          <w:b/>
        </w:rPr>
        <w:t xml:space="preserve">Risk Management:</w:t>
      </w:r>
      <w:r>
        <w:t xml:space="preserve"> </w:t>
      </w:r>
      <w:r>
        <w:t xml:space="preserve">Identifying risks specific to the Iranian economic context, including currency fluctuation and supply chain interruptions.</w:t>
      </w:r>
    </w:p>
    <w:p>
      <w:pPr>
        <w:numPr>
          <w:ilvl w:val="0"/>
          <w:numId w:val="1002"/>
        </w:numPr>
        <w:pStyle w:val="Compact"/>
      </w:pPr>
      <w:r>
        <w:t xml:space="preserve">Resource Allocation:</w:t>
      </w:r>
      <w:r>
        <w:t xml:space="preserve"> </w:t>
      </w:r>
      <w:r>
        <w:t xml:space="preserve">Analyzing how local talent pools in Tehran respond to traditional vs. modern management styles.</w:t>
      </w:r>
    </w:p>
    <w:bookmarkEnd w:id="23"/>
    <w:bookmarkStart w:id="27" w:name="observations"/>
    <w:p>
      <w:pPr>
        <w:pStyle w:val="Heading2"/>
      </w:pPr>
      <w:r>
        <w:t xml:space="preserve">3. Observations and Analysis</w:t>
      </w:r>
    </w:p>
    <w:bookmarkStart w:id="24" w:name="cultural-dynamics"/>
    <w:p>
      <w:pPr>
        <w:pStyle w:val="Heading3"/>
      </w:pPr>
      <w:r>
        <w:t xml:space="preserve">A. The Role of Relationship Building in Tehran</w:t>
      </w:r>
    </w:p>
    <w:p>
      <w:pPr>
        <w:pStyle w:val="FirstParagraph"/>
      </w:pPr>
      <w:r>
        <w:t xml:space="preserve">In many Western contexts, efficiency is prioritized over personal connection at the start of a professional relationship. However, in Iran Tehran, the Project Manager must invest significant time in building trust before technical discussions can proceed effectively. This cultural norm is deeply rooted in Persian society.</w:t>
      </w:r>
    </w:p>
    <w:p>
      <w:pPr>
        <w:pStyle w:val="BodyText"/>
      </w:pPr>
      <w:r>
        <w:rPr>
          <w:bCs/>
          <w:b/>
        </w:rPr>
        <w:t xml:space="preserve">Observation:</w:t>
      </w:r>
      <w:r>
        <w:t xml:space="preserve"> </w:t>
      </w:r>
      <w:r>
        <w:t xml:space="preserve">Meetings that begin directly with agenda items are often perceived as cold or untrustworthy. A successful Project Manager spends the first 30 minutes engaging in general conversation, discussing family and well-being, before transitioning to project specifics. This "human-first" approach is not merely polite; it is a critical risk mitigation strategy for ensuring stakeholder buy-in.</w:t>
      </w:r>
    </w:p>
    <w:bookmarkEnd w:id="24"/>
    <w:bookmarkStart w:id="25" w:name="communication"/>
    <w:p>
      <w:pPr>
        <w:pStyle w:val="Heading3"/>
      </w:pPr>
      <w:r>
        <w:t xml:space="preserve">B. Communication Channels</w:t>
      </w:r>
    </w:p>
    <w:p>
      <w:pPr>
        <w:pStyle w:val="FirstParagraph"/>
      </w:pPr>
      <w:r>
        <w:t xml:space="preserve">The digital infrastructure in Tehran presents unique challenges. While internet access can be unstable or throttled during certain periods, local alternatives like WhatsApp (via workarounds) and Telegram are widely used for rapid project communication. Furthermore, formal documentation often carries more weight than verbal agreements due to a legal culture that favors written evidence.</w:t>
      </w:r>
    </w:p>
    <w:p>
      <w:pPr>
        <w:pStyle w:val="BodyText"/>
      </w:pPr>
      <w:r>
        <w:rPr>
          <w:bCs/>
          <w:b/>
        </w:rPr>
        <w:t xml:space="preserve">Key Finding:</w:t>
      </w:r>
      <w:r>
        <w:t xml:space="preserve"> </w:t>
      </w:r>
      <w:r>
        <w:t xml:space="preserve">The Project Manager must maintain redundant communication channels. Relying solely on email is insufficient in the Iranian market. SMS and messaging apps are the primary tools for real-time decision-making, while formal contracts are negotiated through legal teams familiar with local Iranian law.</w:t>
      </w:r>
    </w:p>
    <w:bookmarkEnd w:id="25"/>
    <w:bookmarkStart w:id="26" w:name="regulatory"/>
    <w:p>
      <w:pPr>
        <w:pStyle w:val="Heading3"/>
      </w:pPr>
      <w:r>
        <w:t xml:space="preserve">C. Regulatory Compliance and Bureaucracy</w:t>
      </w:r>
    </w:p>
    <w:p>
      <w:pPr>
        <w:pStyle w:val="FirstParagraph"/>
      </w:pPr>
      <w:r>
        <w:t xml:space="preserve">Navigating the bureaucratic landscape in Iran Tehran is one of the most time-consuming aspects for a Project Manager. Permits for construction, software licensing, and importation of materials require approval from multiple government bodies.</w:t>
      </w:r>
    </w:p>
    <w:p>
      <w:pPr>
        <w:numPr>
          <w:ilvl w:val="0"/>
          <w:numId w:val="1003"/>
        </w:numPr>
        <w:pStyle w:val="Compact"/>
      </w:pPr>
      <w:r>
        <w:rPr>
          <w:bCs/>
          <w:b/>
        </w:rPr>
        <w:t xml:space="preserve">Scheduling:</w:t>
      </w:r>
      <w:r>
        <w:t xml:space="preserve"> </w:t>
      </w:r>
      <w:r>
        <w:t xml:space="preserve">Timelines must account for a 20-30% buffer to handle bureaucratic delays.</w:t>
      </w:r>
    </w:p>
    <w:p>
      <w:pPr>
        <w:numPr>
          <w:ilvl w:val="0"/>
          <w:numId w:val="1003"/>
        </w:numPr>
        <w:pStyle w:val="Compact"/>
      </w:pPr>
      <w:r>
        <w:t xml:space="preserve">Documentation:</w:t>
      </w:r>
      <w:r>
        <w:t xml:space="preserve">The Project Manager is responsible not just for project deliverables but also for ensuring all compliance documents are meticulously filed in triplicate, as requested by local authorities.</w:t>
      </w:r>
    </w:p>
    <w:bookmarkEnd w:id="26"/>
    <w:bookmarkEnd w:id="27"/>
    <w:bookmarkStart w:id="28" w:name="risk-assessment"/>
    <w:p>
      <w:pPr>
        <w:pStyle w:val="Heading2"/>
      </w:pPr>
      <w:r>
        <w:t xml:space="preserve">4. Risk Assessment</w:t>
      </w:r>
    </w:p>
    <w:p>
      <w:pPr>
        <w:pStyle w:val="FirstParagraph"/>
      </w:pPr>
      <w:r>
        <w:t xml:space="preserve">The risk profile for a Project Manager in Tehran differs markedly from global standards. The primary risks identified are:</w:t>
      </w:r>
    </w:p>
    <w:p>
      <w:pPr>
        <w:pStyle w:val="BodyText"/>
      </w:pPr>
      <w:r>
        <w:rPr>
          <w:bCs/>
          <w:b/>
        </w:rPr>
        <w:t xml:space="preserve">Risk Category</w:t>
      </w:r>
    </w:p>
    <w:bookmarkEnd w:id="28"/>
    <w:p>
      <w:pPr>
        <w:pStyle w:val="BodyText"/>
      </w:pPr>
      <w:r>
        <w:rPr>
          <w:bCs/>
          <w:b/>
        </w:rPr>
        <w:t xml:space="preserve">Description</w:t>
      </w:r>
    </w:p>
    <w:p>
      <w:pPr>
        <w:pStyle w:val="BodyText"/>
      </w:pPr>
      <w:r>
        <w:t xml:space="preserve">Mitigation Strategy for the Project Manager</w:t>
      </w:r>
    </w:p>
    <w:p>
      <w:pPr>
        <w:pStyle w:val="BodyText"/>
      </w:pPr>
      <w:r>
        <w:t xml:space="preserve">Economic Volatility</w:t>
      </w:r>
    </w:p>
    <w:p>
      <w:pPr>
        <w:pStyle w:val="BodyText"/>
      </w:pPr>
      <w:r>
        <w:t xml:space="preserve">Rapid fluctuations in the Iranian Rial against international currencies.</w:t>
      </w:r>
    </w:p>
    <w:p>
      <w:pPr>
        <w:pStyle w:val="BodyText"/>
      </w:pPr>
      <w:r>
        <w:drawing>
          <wp:inline>
            <wp:extent cx="5334000" cy="355600"/>
            <wp:effectExtent b="0" l="0" r="0" t="0"/>
            <wp:docPr descr="Placeholder for Table Image" title="" id="30" name="Picture"/>
            <a:graphic>
              <a:graphicData uri="http://schemas.openxmlformats.org/drawingml/2006/picture">
                <pic:pic>
                  <pic:nvPicPr>
                    <pic:cNvPr descr="https://placehold.co/600x40?text=Table+Continued&amp;font=lora" id="3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5334000" cy="355600"/>
                    </a:xfrm>
                    <a:prstGeom prst="rect">
                      <a:avLst/>
                    </a:prstGeom>
                    <a:noFill/>
                    <a:ln w="9525">
                      <a:noFill/>
                      <a:headEnd/>
                      <a:tailEnd/>
                    </a:ln>
                  </pic:spPr>
                </pic:pic>
              </a:graphicData>
            </a:graphic>
          </wp:inline>
        </w:drawing>
      </w:r>
    </w:p>
    <w:p>
      <w:pPr>
        <w:pStyle w:val="BodyText"/>
      </w:pPr>
      <w:r>
        <w:t xml:space="preserve">Risk Category</w:t>
      </w:r>
    </w:p>
    <w:p>
      <w:pPr>
        <w:pStyle w:val="BodyText"/>
      </w:pPr>
      <w:r>
        <w:br/>
      </w:r>
    </w:p>
    <w:p>
      <w:pPr>
        <w:pStyle w:val="BodyText"/>
      </w:pPr>
      <w:r>
        <w:br/>
      </w:r>
    </w:p>
    <w:p>
      <w:pPr>
        <w:pStyle w:val="BodyText"/>
      </w:pPr>
      <w:r>
        <w:br/>
      </w:r>
    </w:p>
    <w:p>
      <w:pPr>
        <w:pStyle w:val="BodyText"/>
      </w:pPr>
      <w:r>
        <w:rPr>
          <w:bCs/>
          <w:b/>
        </w:rPr>
        <w:t xml:space="preserve">Economic Volatility:</w:t>
      </w:r>
      <w:r>
        <w:t xml:space="preserve">Rapid fluctuations in the Iranian Rial against international currencies.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9" Target="media/rId29.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Iran Tehran</dc:title>
  <dc:creator/>
  <dc:language>en</dc:language>
  <cp:keywords/>
  <dcterms:created xsi:type="dcterms:W3CDTF">2026-07-29T10:24:03Z</dcterms:created>
  <dcterms:modified xsi:type="dcterms:W3CDTF">2026-07-29T10:24:03Z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