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Evaluation</w:t>
      </w:r>
      <w:r>
        <w:t xml:space="preserve"> </w:t>
      </w:r>
      <w:r>
        <w:t xml:space="preserve">Framework</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8" w:name="Xc7639e982b96b699fa43d03b72935dad5e2e068"/>
    <w:p>
      <w:pPr>
        <w:pStyle w:val="Heading1"/>
      </w:pPr>
      <w:r>
        <w:t xml:space="preserve">Laboratory Report: Psychiatric Evaluation and Care Framework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Regional Health Secretariat of Cundinamarca</w:t>
      </w:r>
      <w:r>
        <w:br/>
      </w:r>
      <w:r>
        <w:rPr>
          <w:bCs/>
          <w:b/>
        </w:rPr>
        <w:t xml:space="preserve">From:</w:t>
      </w:r>
      <w:r>
        <w:t xml:space="preserve"> </w:t>
      </w:r>
      <w:r>
        <w:t xml:space="preserve">Clinical Research Division – Mental Health Unit</w:t>
      </w:r>
      <w:r>
        <w:br/>
      </w:r>
      <w:r>
        <w:rPr>
          <w:bCs/>
          <w:b/>
        </w:rPr>
        <w:t xml:space="preserve">Subject:</w:t>
      </w:r>
      <w:r>
        <w:t xml:space="preserve"> </w:t>
      </w:r>
      <w:r>
        <w:t xml:space="preserve">Analysis of Psychiatric Service Efficacy, Diagnostic Standards, and Neurochemical Profiling in the Capital Region</w:t>
      </w:r>
    </w:p>
    <w:bookmarkStart w:id="20" w:name="executive-summary"/>
    <w:p>
      <w:pPr>
        <w:pStyle w:val="Heading2"/>
      </w:pPr>
      <w:r>
        <w:t xml:space="preserve">1. Executive Summary</w:t>
      </w:r>
    </w:p>
    <w:p>
      <w:pPr>
        <w:pStyle w:val="FirstParagraph"/>
      </w:pPr>
      <w:r>
        <w:t xml:space="preserve">This document serves as a comprehensive laboratory report detailing the current landscape of psychiatric care within</w:t>
      </w:r>
      <w:r>
        <w:t xml:space="preserve"> </w:t>
      </w:r>
      <w:r>
        <w:rPr>
          <w:bCs/>
          <w:b/>
        </w:rPr>
        <w:t xml:space="preserve">Colombia Bogotá</w:t>
      </w:r>
      <w:r>
        <w:t xml:space="preserve">. As the capital district and most populous urban center of Colombia, Bogotá presents a unique epidemiological profile regarding mental health disorders, ranging from trauma-related conditions to neurodevelopmental disorders. The objective of this</w:t>
      </w:r>
      <w:r>
        <w:t xml:space="preserve"> </w:t>
      </w:r>
      <w:r>
        <w:rPr>
          <w:bCs/>
          <w:b/>
        </w:rPr>
        <w:t xml:space="preserve">Lab Report</w:t>
      </w:r>
      <w:r>
        <w:t xml:space="preserve"> </w:t>
      </w:r>
      <w:r>
        <w:t xml:space="preserve">is to synthesize clinical data, evaluate the efficacy of standard psychiatric interventions, and outline the necessary protocols for accurate diagnosis and treatment in urban hospital settings.</w:t>
      </w:r>
    </w:p>
    <w:p>
      <w:pPr>
        <w:pStyle w:val="BodyText"/>
      </w:pPr>
      <w:r>
        <w:t xml:space="preserve">The integration of biochemical laboratory testing with traditional psychometric evaluation remains a critical component in optimizing patient outcomes. This report emphasizes that a holistic approach—combining biological markers with behavioral observation—is essential for delivering high-quality care to the diverse population of</w:t>
      </w:r>
      <w:r>
        <w:t xml:space="preserve"> </w:t>
      </w:r>
      <w:r>
        <w:rPr>
          <w:bCs/>
          <w:b/>
        </w:rPr>
        <w:t xml:space="preserve">Colombia Bogotá</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mental health infrastructure in Colombia has undergone significant transformation over the last two decades. However, the capital city,</w:t>
      </w:r>
      <w:r>
        <w:t xml:space="preserve"> </w:t>
      </w:r>
      <w:r>
        <w:rPr>
          <w:bCs/>
          <w:b/>
        </w:rPr>
        <w:t xml:space="preserve">Bogotá</w:t>
      </w:r>
      <w:r>
        <w:t xml:space="preserve">, faces specific challenges due to high population density, socioeconomic disparities, and residual trauma from historical conflict zones that have seen increased urban migration. A specialized</w:t>
      </w:r>
      <w:r>
        <w:t xml:space="preserve"> </w:t>
      </w:r>
      <w:r>
        <w:rPr>
          <w:bCs/>
          <w:b/>
        </w:rPr>
        <w:t xml:space="preserve">Psychiatrist</w:t>
      </w:r>
      <w:r>
        <w:t xml:space="preserve"> </w:t>
      </w:r>
      <w:r>
        <w:t xml:space="preserve">operating in this environment must possess a dual competency: clinical expertise in psychiatric pathology and an understanding of the sociocultural determinants of health prevalent in Latin America.</w:t>
      </w:r>
    </w:p>
    <w:p>
      <w:pPr>
        <w:pStyle w:val="BodyText"/>
      </w:pPr>
      <w:r>
        <w:t xml:space="preserve">In the context of this</w:t>
      </w:r>
      <w:r>
        <w:t xml:space="preserve"> </w:t>
      </w:r>
      <w:r>
        <w:rPr>
          <w:bCs/>
          <w:b/>
        </w:rPr>
        <w:t xml:space="preserve">Lab Report</w:t>
      </w:r>
      <w:r>
        <w:t xml:space="preserve">, we define "laboratory" broadly to include not only biological sample analysis but also the systematic evaluation of patient history, family dynamics, and environmental stressors. The role of the</w:t>
      </w:r>
      <w:r>
        <w:t xml:space="preserve"> </w:t>
      </w:r>
      <w:r>
        <w:rPr>
          <w:bCs/>
          <w:b/>
        </w:rPr>
        <w:t xml:space="preserve">Psychiatrist</w:t>
      </w:r>
      <w:r>
        <w:t xml:space="preserve"> </w:t>
      </w:r>
      <w:r>
        <w:t xml:space="preserve">in</w:t>
      </w:r>
    </w:p>
    <w:p>
      <w:pPr>
        <w:pStyle w:val="BodyText"/>
      </w:pPr>
      <w:r>
        <w:t xml:space="preserve">Colombia Bogotá is pivotal in bridging the gap between public health mandates and individualized clinical care.</w:t>
      </w:r>
    </w:p>
    <w:bookmarkEnd w:id="21"/>
    <w:bookmarkStart w:id="22" w:name="methodology-diagnostic-protocols"/>
    <w:p>
      <w:pPr>
        <w:pStyle w:val="Heading2"/>
      </w:pPr>
      <w:r>
        <w:t xml:space="preserve">3. Methodology: Diagnostic Protocols</w:t>
      </w:r>
    </w:p>
    <w:p>
      <w:pPr>
        <w:pStyle w:val="FirstParagraph"/>
      </w:pPr>
      <w:r>
        <w:t xml:space="preserve">To ensure standardization across medical facilities in the district, this report outlines a multi-tiered methodology for psychiatric assessment. The following steps are recommended for all incoming patients:</w:t>
      </w:r>
    </w:p>
    <w:p>
      <w:pPr>
        <w:numPr>
          <w:ilvl w:val="0"/>
          <w:numId w:val="1001"/>
        </w:numPr>
        <w:pStyle w:val="Compact"/>
      </w:pPr>
      <w:r>
        <w:rPr>
          <w:bCs/>
          <w:b/>
        </w:rPr>
        <w:t xml:space="preserve">Clinical Interviewing:</w:t>
      </w:r>
      <w:r>
        <w:t xml:space="preserve"> </w:t>
      </w:r>
      <w:r>
        <w:t xml:space="preserve">Utilizing semi-structured interviews based on DSM-5 and ICD-11 criteria to establish primary diagnoses.</w:t>
      </w:r>
    </w:p>
    <w:p>
      <w:pPr>
        <w:numPr>
          <w:ilvl w:val="0"/>
          <w:numId w:val="1001"/>
        </w:numPr>
        <w:pStyle w:val="Compact"/>
      </w:pPr>
      <w:r>
        <w:rPr>
          <w:bCs/>
          <w:b/>
        </w:rPr>
        <w:t xml:space="preserve">Biological Screening:</w:t>
      </w:r>
      <w:r>
        <w:t xml:space="preserve"> </w:t>
      </w:r>
      <w:r>
        <w:t xml:space="preserve">Mandatory blood panels to rule out organic causes of psychiatric symptoms (e.g., thyroid dysfunction, vitamin deficiencies).</w:t>
      </w:r>
    </w:p>
    <w:p>
      <w:pPr>
        <w:numPr>
          <w:ilvl w:val="0"/>
          <w:numId w:val="1001"/>
        </w:numPr>
        <w:pStyle w:val="Compact"/>
      </w:pPr>
      <w:r>
        <w:rPr>
          <w:bCs/>
          <w:b/>
        </w:rPr>
        <w:t xml:space="preserve">Toxicological Analysis:</w:t>
      </w:r>
      <w:r>
        <w:t xml:space="preserve"> </w:t>
      </w:r>
      <w:r>
        <w:t xml:space="preserve">Urine and serum drug screenings, particularly relevant in urban centers with high substance usage rates.</w:t>
      </w:r>
    </w:p>
    <w:bookmarkEnd w:id="22"/>
    <w:bookmarkStart w:id="23" w:name="biological-laboratory-parameters"/>
    <w:p>
      <w:pPr>
        <w:pStyle w:val="Heading2"/>
      </w:pPr>
      <w:r>
        <w:t xml:space="preserve">4. Biological Laboratory Parameters</w:t>
      </w:r>
    </w:p>
    <w:p>
      <w:pPr>
        <w:pStyle w:val="FirstParagraph"/>
      </w:pPr>
      <w:r>
        <w:t xml:space="preserve">A core component of the modern psychiatric practice in</w:t>
      </w:r>
      <w:r>
        <w:t xml:space="preserve"> </w:t>
      </w:r>
      <w:r>
        <w:rPr>
          <w:bCs/>
          <w:b/>
        </w:rPr>
        <w:t xml:space="preserve">Bogotá</w:t>
      </w:r>
      <w:r>
        <w:t xml:space="preserve"> </w:t>
      </w:r>
      <w:r>
        <w:t xml:space="preserve">is the correlation of behavioral symptoms with biological markers. The following laboratory tests are considered standard for initial psychiatric evaluations:</w:t>
      </w:r>
    </w:p>
    <w:p>
      <w:pPr>
        <w:pStyle w:val="BodyText"/>
      </w:pPr>
      <w:r>
        <w:t xml:space="preserve">Test Category</w:t>
      </w:r>
    </w:p>
    <w:p>
      <w:pPr>
        <w:pStyle w:val="BodyText"/>
      </w:pPr>
      <w:r>
        <w:t xml:space="preserve">Specific Marker</w:t>
      </w:r>
    </w:p>
    <w:p>
      <w:pPr>
        <w:pStyle w:val="BodyText"/>
      </w:pPr>
      <w:r>
        <w:t xml:space="preserve">Clinical Relevance in Bogotá Patients</w:t>
      </w:r>
    </w:p>
    <w:p>
      <w:pPr>
        <w:pStyle w:val="BodyText"/>
      </w:pPr>
      <w:r>
        <w:t xml:space="preserve">Biochemical Panel(e.g., TSH, Free T4) to identify metabolic contributors to mood disorders.</w:t>
      </w:r>
    </w:p>
    <w:p>
      <w:pPr>
        <w:pStyle w:val="BodyText"/>
      </w:pPr>
      <w:r>
        <w:t xml:space="preserve">Nutritional Status</w:t>
      </w:r>
      <w:r>
        <w:br/>
      </w:r>
      <w:r>
        <w:t xml:space="preserve">(Vitamin B12, Folate)</w:t>
      </w:r>
      <w:r>
        <w:br/>
      </w:r>
    </w:p>
    <w:bookmarkEnd w:id="23"/>
    <w:p>
      <w:pPr>
        <w:pStyle w:val="BodyText"/>
      </w:pPr>
      <w:r>
        <w:t xml:space="preserve">Methylation issues are prevalent in the Colombian population due to dietary habits; deficiency is linked to depression.</w:t>
      </w:r>
    </w:p>
    <w:p>
      <w:pPr>
        <w:pStyle w:val="BodyText"/>
      </w:pPr>
      <w:r>
        <w:t xml:space="preserve">Inflammatory Markers (CRP, IL-6)</w:t>
      </w:r>
    </w:p>
    <w:p>
      <w:pPr>
        <w:pStyle w:val="BodyText"/>
      </w:pPr>
      <w:r>
        <w:t xml:space="preserve">Elevated inflammation is increasingly correlated with treatment-resistant depression observed in urban patients.</w:t>
      </w:r>
    </w:p>
    <w:p>
      <w:pPr>
        <w:pStyle w:val="BodyText"/>
      </w:pPr>
      <w:r>
        <w:t xml:space="preserve">Toxicology Screen</w:t>
      </w:r>
      <w:r>
        <w:br/>
      </w:r>
      <w:r>
        <w:t xml:space="preserve">(Urine/Serum)&lt; br /&gt;&lt; / tr&gt;</w:t>
      </w:r>
    </w:p>
    <w:p>
      <w:pPr>
        <w:pStyle w:val="BodyText"/>
      </w:pPr>
      <w:r>
        <w:t xml:space="preserve">Drug Class</w:t>
      </w:r>
    </w:p>
    <w:p>
      <w:pPr>
        <w:pStyle w:val="BodyText"/>
      </w:pPr>
      <w:r>
        <w:t xml:space="preserve">Relevance</w:t>
      </w:r>
    </w:p>
    <w:p>
      <w:pPr>
        <w:pStyle w:val="BodyText"/>
      </w:pPr>
      <w:r>
        <w:t xml:space="preserve">Cannabis (THC)</w:t>
      </w:r>
    </w:p>
    <w:p>
      <w:pPr>
        <w:pStyle w:val="BodyText"/>
      </w:pPr>
      <w:r>
        <w:t xml:space="preserve">High prevalence in youth demographics; associated with psychosis risk.</w:t>
      </w:r>
    </w:p>
    <w:p>
      <w:pPr>
        <w:pStyle w:val="BodyText"/>
      </w:pPr>
      <w:r>
        <w:t xml:space="preserve">Cocaine/Crack</w:t>
      </w:r>
      <w:r>
        <w:br/>
      </w:r>
      <w:r>
        <w:t xml:space="preserve">(Common in certain districts of Bogotá)&lt; br /&gt;&lt; / tr&gt;</w:t>
      </w:r>
    </w:p>
    <w:p>
      <w:pPr>
        <w:pStyle w:val="BodyText"/>
      </w:pPr>
      <w:r>
        <w:t xml:space="preserve">Drug Class</w:t>
      </w:r>
    </w:p>
    <w:p>
      <w:pPr>
        <w:pStyle w:val="BodyText"/>
      </w:pPr>
      <w:r>
        <w:t xml:space="preserve">Relevance</w:t>
      </w:r>
    </w:p>
    <w:p>
      <w:pPr>
        <w:pStyle w:val="BodyText"/>
      </w:pPr>
      <w:r>
        <w:t xml:space="preserve">Cocaine (Benzoylecgonine)</w:t>
      </w:r>
    </w:p>
    <w:p>
      <w:pPr>
        <w:pStyle w:val="BodyText"/>
      </w:pPr>
      <w:r>
        <w:t xml:space="preserve">Acutely intoxicates patients and exacerbates anxiety disorders.</w:t>
      </w:r>
    </w:p>
    <w:p>
      <w:pPr>
        <w:pStyle w:val="BodyText"/>
      </w:pPr>
      <w:r>
        <w:t xml:space="preserve">Ether/Inhalants</w:t>
      </w:r>
      <w:r>
        <w:br/>
      </w:r>
      <w:r>
        <w:t xml:space="preserve">(Used in marginalized sectors)&lt; br /&gt;&lt; / tr&gt;</w:t>
      </w:r>
    </w:p>
    <w:p>
      <w:pPr>
        <w:pStyle w:val="BodyText"/>
      </w:pPr>
      <w:r>
        <w:t xml:space="preserve">Drug Class</w:t>
      </w:r>
    </w:p>
    <w:p>
      <w:pPr>
        <w:pStyle w:val="BodyText"/>
      </w:pPr>
      <w:r>
        <w:t xml:space="preserve">Relevance</w:t>
      </w:r>
    </w:p>
    <w:p>
      <w:pPr>
        <w:pStyle w:val="BodyText"/>
      </w:pPr>
      <w:r>
        <w:t xml:space="preserve">Toluene/Solvents</w:t>
      </w:r>
    </w:p>
    <w:p>
      <w:pPr>
        <w:pStyle w:val="BodyText"/>
      </w:pPr>
      <w:r>
        <w:t xml:space="preserve">Causes permanent cognitive deficit; requires long-term neurological monitoring.</w:t>
      </w:r>
    </w:p>
    <w:bookmarkStart w:id="24" w:name="Xd4374dfe52911a6661dd775886aa38e5242a6a9"/>
    <w:p>
      <w:pPr>
        <w:pStyle w:val="Heading2"/>
      </w:pPr>
      <w:r>
        <w:t xml:space="preserve">5. The Role of the Psychiatrist in Urban Health Systems</w:t>
      </w:r>
    </w:p>
    <w:p>
      <w:pPr>
        <w:pStyle w:val="FirstParagraph"/>
      </w:pPr>
      <w:r>
        <w:t xml:space="preserve">In the complex healthcare ecosystem of</w:t>
      </w:r>
    </w:p>
    <w:p>
      <w:pPr>
        <w:pStyle w:val="BodyText"/>
      </w:pPr>
      <w:r>
        <w:t xml:space="preserve">Bogotá , the psychiatrist acts as a central coordinator. Due to resource constraints in some public hospitals, psychiatrists must often rely on clinical acumen when advanced neuroimaging or genetic testing is unavailable. This report highlights that while technology is advancing, the interpersonal skill of the psychiatrist remains the most potent diagnostic tool.</w:t>
      </w:r>
    </w:p>
    <w:p>
      <w:pPr>
        <w:pStyle w:val="BodyText"/>
      </w:pPr>
      <w:r>
        <w:t xml:space="preserve">Furthermore, cultural competence is vital. In</w:t>
      </w:r>
      <w:r>
        <w:t xml:space="preserve"> </w:t>
      </w:r>
      <w:r>
        <w:rPr>
          <w:bCs/>
          <w:b/>
        </w:rPr>
        <w:t xml:space="preserve">Bogotá</w:t>
      </w:r>
      <w:r>
        <w:t xml:space="preserve">, patients may present with somatic symptoms (physical pain) rather than psychological complaints when discussing emotional distress—a phenomenon known as "somatization." A skilled</w:t>
      </w:r>
    </w:p>
    <w:p>
      <w:pPr>
        <w:pStyle w:val="BodyText"/>
      </w:pPr>
      <w:r>
        <w:t xml:space="preserve">Psychiatrist must recognize these cultural nuances to avoid misdiagnosis and ensure appropriate treatment referral.</w:t>
      </w:r>
    </w:p>
    <w:bookmarkEnd w:id="24"/>
    <w:bookmarkStart w:id="25" w:name="Xa258654227a36d7de870725d8482ca4d02d0dad"/>
    <w:p>
      <w:pPr>
        <w:pStyle w:val="Heading2"/>
      </w:pPr>
      <w:r>
        <w:t xml:space="preserve">6. Statistical Analysis of Local Epidemiology</w:t>
      </w:r>
    </w:p>
    <w:p>
      <w:pPr>
        <w:pStyle w:val="FirstParagraph"/>
      </w:pPr>
      <w:r>
        <w:t xml:space="preserve">Data collected from various clinics in</w:t>
      </w:r>
      <w:r>
        <w:t xml:space="preserve"> </w:t>
      </w:r>
      <w:r>
        <w:rPr>
          <w:bCs/>
          <w:b/>
        </w:rPr>
        <w:t xml:space="preserve">Bogotá</w:t>
      </w:r>
      <w:r>
        <w:t xml:space="preserve"> </w:t>
      </w:r>
      <w:r>
        <w:t xml:space="preserve">indicates a rising trend in anxiety disorders among young adults, attributed to economic instability and post-pandemic social reintegration difficulties. Concurrently, there is a steady prevalence of bipolar disorder and schizophrenia requiring long-term pharmacological management.</w:t>
      </w:r>
    </w:p>
    <w:p>
      <w:pPr>
        <w:pStyle w:val="BodyText"/>
      </w:pPr>
      <w:r>
        <w:t xml:space="preserve">Anxiety Disorders: 28% of outpatient visits</w:t>
      </w:r>
      <w:r>
        <w:br/>
      </w:r>
    </w:p>
    <w:p>
      <w:pPr>
        <w:pStyle w:val="BodyText"/>
      </w:pPr>
      <w:r>
        <w:t xml:space="preserve">Major Depressive Disorder: 24% of outpatient visits</w:t>
      </w:r>
      <w:r>
        <w:br/>
      </w:r>
    </w:p>
    <w:p>
      <w:pPr>
        <w:pStyle w:val="BodyText"/>
      </w:pPr>
      <w:r>
        <w:t xml:space="preserve">Schizophrenia Spectrum Disorders: 15% inpatient admissions</w:t>
      </w:r>
      <w:r>
        <w:br/>
      </w:r>
    </w:p>
    <w:bookmarkEnd w:id="25"/>
    <w:bookmarkStart w:id="26" w:name="X3edd326da115611dd8ce7f94c02ddf92d03963f"/>
    <w:p>
      <w:pPr>
        <w:pStyle w:val="Heading2"/>
      </w:pPr>
      <w:r>
        <w:t xml:space="preserve">7. Recommendations for Laboratory Integration</w:t>
      </w:r>
    </w:p>
    <w:p>
      <w:pPr>
        <w:pStyle w:val="FirstParagraph"/>
      </w:pPr>
      <w:r>
        <w:t xml:space="preserve">To improve the efficacy of psychiatric care in</w:t>
      </w:r>
      <w:r>
        <w:t xml:space="preserve"> </w:t>
      </w:r>
      <w:r>
        <w:rPr>
          <w:bCs/>
          <w:b/>
        </w:rPr>
        <w:t xml:space="preserve">Bogotá</w:t>
      </w:r>
      <w:r>
        <w:t xml:space="preserve">, this lab report recommends the following:</w:t>
      </w:r>
    </w:p>
    <w:p>
      <w:pPr>
        <w:pStyle w:val="BodyText"/>
      </w:pPr>
      <w:r>
        <w:rPr>
          <w:bCs/>
          <w:b/>
        </w:rPr>
        <w:t xml:space="preserve">Standardized Referral Pathways:</w:t>
      </w:r>
    </w:p>
    <w:p>
      <w:pPr>
        <w:pStyle w:val="BodyText"/>
      </w:pPr>
      <w:r>
        <w:rPr>
          <w:iCs/>
          <w:i/>
        </w:rPr>
        <w:t xml:space="preserve">Telepsychiatry Support</w:t>
      </w:r>
    </w:p>
    <w:p>
      <w:pPr>
        <w:pStyle w:val="BodyText"/>
      </w:pPr>
      <w:r>
        <w:rPr>
          <w:bCs/>
          <w:b/>
        </w:rPr>
        <w:t xml:space="preserve">Data Privacy and Ethics:</w:t>
      </w:r>
    </w:p>
    <w:bookmarkEnd w:id="26"/>
    <w:bookmarkStart w:id="27" w:name="conclusion"/>
    <w:p>
      <w:pPr>
        <w:pStyle w:val="Heading2"/>
      </w:pPr>
      <w:r>
        <w:t xml:space="preserve">8. Conclusion</w:t>
      </w:r>
    </w:p>
    <w:p>
      <w:pPr>
        <w:pStyle w:val="FirstParagraph"/>
      </w:pPr>
      <w:r>
        <w:t xml:space="preserve">The synthesis of biological laboratory data with clinical psychiatric evaluation represents the gold standard in mental health care. For</w:t>
      </w:r>
    </w:p>
    <w:p>
      <w:pPr>
        <w:pStyle w:val="BodyText"/>
      </w:pPr>
      <w:r>
        <w:t xml:space="preserve">Bogotá, adapting these international standards to local cultural and socioeconomic realities is essential for reducing the burden of disease. The</w:t>
      </w:r>
    </w:p>
    <w:p>
      <w:pPr>
        <w:pStyle w:val="BodyText"/>
      </w:pPr>
      <w:r>
        <w:t xml:space="preserve">Psychiatrist must remain at the forefront of this integration, ensuring that every patient receives not only symptomatic relief but also a comprehensive understanding of their health profile.</w:t>
      </w:r>
    </w:p>
    <w:p>
      <w:pPr>
        <w:pStyle w:val="BodyText"/>
      </w:pPr>
      <w:r>
        <w:t xml:space="preserve">This lab report serves as a foundational document for future policy adjustments and clinical training programs in the capital region. By focusing on precise diagnostics and culturally competent care,</w:t>
      </w:r>
      <w:r>
        <w:t xml:space="preserve"> </w:t>
      </w:r>
      <w:r>
        <w:rPr>
          <w:bCs/>
          <w:b/>
        </w:rPr>
        <w:t xml:space="preserve">Bogotá</w:t>
      </w:r>
      <w:r>
        <w:t xml:space="preserve"> </w:t>
      </w:r>
      <w:r>
        <w:t xml:space="preserve">can significantly improve the quality of life for its residents suffering from mental health challenges.</w:t>
      </w:r>
    </w:p>
    <w:p>
      <w:pPr>
        <w:pStyle w:val="BodyText"/>
      </w:pPr>
      <w:r>
        <w:rPr>
          <w:iCs/>
          <w:i/>
        </w:rPr>
        <w:t xml:space="preserve">Note: This document is a simulated laboratory report intended for educational and illustrative purposes regarding psychiatric frameworks in Colombia.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Evaluation Framework in Colombia Bogotá</dc:title>
  <dc:creator/>
  <dc:language>en</dc:language>
  <cp:keywords/>
  <dcterms:created xsi:type="dcterms:W3CDTF">2026-07-29T20:12:40Z</dcterms:created>
  <dcterms:modified xsi:type="dcterms:W3CDTF">2026-07-29T20:12:40Z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