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Assessment</w:t>
      </w:r>
      <w:r>
        <w:t xml:space="preserve"> </w:t>
      </w:r>
      <w:r>
        <w:t xml:space="preserve">Lab</w:t>
      </w:r>
      <w:r>
        <w:t xml:space="preserve"> </w:t>
      </w:r>
      <w:r>
        <w:t xml:space="preserve">Report:</w:t>
      </w:r>
      <w:r>
        <w:t xml:space="preserve"> </w:t>
      </w:r>
      <w:r>
        <w:t xml:space="preserve">Clinical</w:t>
      </w:r>
      <w:r>
        <w:t xml:space="preserve"> </w:t>
      </w:r>
      <w:r>
        <w:t xml:space="preserve">Evaluation</w:t>
      </w:r>
      <w:r>
        <w:t xml:space="preserve"> </w:t>
      </w:r>
      <w:r>
        <w:t xml:space="preserve">in</w:t>
      </w:r>
      <w:r>
        <w:t xml:space="preserve"> </w:t>
      </w:r>
      <w:r>
        <w:t xml:space="preserve">Germany</w:t>
      </w:r>
      <w:r>
        <w:t xml:space="preserve"> </w:t>
      </w:r>
      <w:r>
        <w:t xml:space="preserve">Berlin</w:t>
      </w:r>
    </w:p>
    <w:bookmarkStart w:id="20" w:name="Xa45402533e3db18d854e632f19eec52a98cdc3f"/>
    <w:p>
      <w:pPr>
        <w:pStyle w:val="Heading1"/>
      </w:pPr>
      <w:r>
        <w:t xml:space="preserve">Comprehensive Psychiatric Diagnostic Lab Report</w:t>
      </w:r>
    </w:p>
    <w:p>
      <w:pPr>
        <w:pStyle w:val="FirstParagraph"/>
      </w:pPr>
      <w:r>
        <w:rPr>
          <w:bCs/>
          <w:b/>
        </w:rPr>
        <w:t xml:space="preserve">Institution:</w:t>
      </w:r>
      <w:r>
        <w:t xml:space="preserve"> </w:t>
      </w:r>
      <w:r>
        <w:t xml:space="preserve">Charité – Universitätsmedizin Berlin</w:t>
      </w:r>
      <w:r>
        <w:br/>
      </w:r>
      <w:r>
        <w:rPr>
          <w:bCs/>
          <w:b/>
        </w:rPr>
        <w:t xml:space="preserve">District:</w:t>
      </w:r>
      <w:r>
        <w:t xml:space="preserve"> </w:t>
      </w:r>
      <w:r>
        <w:t xml:space="preserve">Mitte, Germany, Berlin</w:t>
      </w:r>
      <w:r>
        <w:br/>
      </w:r>
      <w:r>
        <w:rPr>
          <w:bCs/>
          <w:b/>
        </w:rPr>
        <w:t xml:space="preserve">Date of Report:</w:t>
      </w:r>
      <w:r>
        <w:t xml:space="preserve"> </w:t>
      </w:r>
      <w:r>
        <w:t xml:space="preserve">October 24, 2023</w:t>
      </w:r>
      <w:r>
        <w:br/>
      </w:r>
    </w:p>
    <w:p>
      <w:pPr>
        <w:pStyle w:val="BodyText"/>
      </w:pPr>
      <w:r>
        <w:t xml:space="preserve">Patient ID:#BER-9981-PSY</w:t>
      </w:r>
    </w:p>
    <w:p>
      <w:pPr>
        <w:pStyle w:val="BodyText"/>
      </w:pPr>
      <w:r>
        <w:t xml:space="preserve">1. Executive Summary and Contextual Framework</w:t>
      </w:r>
    </w:p>
    <w:p>
      <w:pPr>
        <w:pStyle w:val="BodyText"/>
      </w:pPr>
      <w:r>
        <w:t xml:space="preserve">This document serves as an official psychiatric assessment lab report generated within the specialized healthcare infrastructure of Germany, Berlin. The purpose of this report is to detail the clinical evaluation, diagnostic reasoning, and therapeutic recommendations for Patient X regarding their mental health status. In the context of Germany’s rigorous medical standards and Berlin’s dense urban psychological landscape, precise documentation is paramount for insurance reimbursement (gesetzliche Krankenkasse) and continuity of care. This lab report bridges the gap between subjective patient testimony and objective clinical observation, adhering strictly to the diagnostic criteria required by German psychiatric institutions.</w:t>
      </w:r>
    </w:p>
    <w:p>
      <w:pPr>
        <w:pStyle w:val="BodyText"/>
      </w:pPr>
      <w:r>
        <w:t xml:space="preserve">The environment of Berlin presents unique stressors, including high population density, socioeconomic disparities across districts (such as Mitte versus Neukölln), and a complex bureaucratic healthcare system. Consequently, this psychiatric evaluation must account for both standard international diagnostic markers (ICD-10/ICD-11) and the specific socio-cultural pressures prevalent in capital city Germany. The term "Lab Report" in psychiatry does not refer solely to biochemical analysis but encompasses a holistic data collection process involving psychological testing, physiological monitoring, and behavioral observation.</w:t>
      </w:r>
    </w:p>
    <w:p>
      <w:pPr>
        <w:pStyle w:val="BodyText"/>
      </w:pPr>
      <w:r>
        <w:t xml:space="preserve">2. Patient Demographics and Social History</w:t>
      </w:r>
    </w:p>
    <w:p>
      <w:pPr>
        <w:pStyle w:val="BodyText"/>
      </w:pPr>
      <w:r>
        <w:rPr>
          <w:bCs/>
          <w:b/>
        </w:rPr>
        <w:t xml:space="preserve">Category</w:t>
      </w:r>
    </w:p>
    <w:p>
      <w:pPr>
        <w:pStyle w:val="BodyText"/>
      </w:pPr>
      <w:r>
        <w:rPr>
          <w:bCs/>
          <w:b/>
        </w:rPr>
        <w:t xml:space="preserve">Details</w:t>
      </w:r>
    </w:p>
    <w:p>
      <w:pPr>
        <w:pStyle w:val="BodyText"/>
      </w:pPr>
      <w:r>
        <w:t xml:space="preserve">Name/Age/Gender</w:t>
      </w:r>
    </w:p>
    <w:p>
      <w:pPr>
        <w:pStyle w:val="BodyText"/>
      </w:pPr>
      <w:r>
        <w:t xml:space="preserve">[Redacted]/34 Years/Male/Female/Non-Binary (Specified as Male for clinical shorthand)</w:t>
      </w:r>
    </w:p>
    <w:p>
      <w:pPr>
        <w:pStyle w:val="BodyText"/>
      </w:pPr>
      <w:r>
        <w:t xml:space="preserve">Residence in Germany Berlin</w:t>
      </w:r>
    </w:p>
    <w:p>
      <w:pPr>
        <w:pStyle w:val="BodyText"/>
      </w:pPr>
      <w:r>
        <w:t xml:space="preserve">Mitte District, Central Berlin. High cost of living area.</w:t>
      </w:r>
    </w:p>
    <w:p>
      <w:pPr>
        <w:pStyle w:val="BodyText"/>
      </w:pPr>
      <w:r>
        <w:t xml:space="preserve">Occupation</w:t>
      </w:r>
    </w:p>
    <w:p>
      <w:pPr>
        <w:pStyle w:val="BodyText"/>
      </w:pPr>
      <w:r>
        <w:t xml:space="preserve">Tech Sector Consultant (Remote Work)</w:t>
      </w:r>
    </w:p>
    <w:p>
      <w:pPr>
        <w:pStyle w:val="BodyText"/>
      </w:pPr>
      <w:r>
        <w:t xml:space="preserve">Languages Spoken</w:t>
      </w:r>
    </w:p>
    <w:p>
      <w:pPr>
        <w:pStyle w:val="BodyText"/>
      </w:pPr>
      <w:r>
        <w:t xml:space="preserve">&lt;</w:t>
      </w:r>
    </w:p>
    <w:p>
      <w:pPr>
        <w:pStyle w:val="BodyText"/>
      </w:pPr>
      <w:r>
        <w:t xml:space="preserve">English (Native), German (B2 Level), Spanish (A1 Level)</w:t>
      </w:r>
    </w:p>
    <w:p>
      <w:pPr>
        <w:pStyle w:val="BodyText"/>
      </w:pPr>
      <w:r>
        <w:t xml:space="preserve">Social Support System</w:t>
      </w:r>
    </w:p>
    <w:p>
      <w:pPr>
        <w:pStyle w:val="BodyText"/>
      </w:pPr>
      <w:r>
        <w:t xml:space="preserve">Limited local family presence. Strong digital network. Participates in local Berlin community groups.</w:t>
      </w:r>
    </w:p>
    <w:p>
      <w:pPr>
        <w:pStyle w:val="BodyText"/>
      </w:pPr>
      <w:r>
        <w:t xml:space="preserve">The patient resides in the heart of Berlin, an area known for its vibrant but sometimes chaotic social atmosphere. The rapid pace of life and the transient nature of many residents in Mitte can contribute to feelings of isolation despite physical proximity to others. This contextual factor is critical when interpreting symptoms related to anxiety and depression.</w:t>
      </w:r>
    </w:p>
    <w:p>
      <w:pPr>
        <w:pStyle w:val="BodyText"/>
      </w:pPr>
      <w:r>
        <w:t xml:space="preserve">3. Clinical Presentation and Chief Complaint</w:t>
      </w:r>
    </w:p>
    <w:p>
      <w:pPr>
        <w:pStyle w:val="BodyText"/>
      </w:pPr>
      <w:r>
        <w:t xml:space="preserve">The patient presented with a primary complaint of persistent low mood, anhedonia (inability to feel pleasure), and heightened social anxiety lasting approximately six months. The patient describes these symptoms as exacerbating during evening hours in the city center, particularly when navigating crowded areas such as Alexanderplatz or Hauptbahnhof. This specific trigger suggests a possible comorbidity with agoraphobic tendencies, a condition frequently monitored in urban psychiatric case studies.</w:t>
      </w:r>
    </w:p>
    <w:p>
      <w:pPr>
        <w:pStyle w:val="BodyText"/>
      </w:pPr>
      <w:r>
        <w:t xml:space="preserve">Subjectively, the patient reports sleep disturbances characterized by early morning awakening and racing thoughts regarding professional performance and social integration in Germany. There is no history of manic episodes, hallucinations, or delusional thinking. The absence of psychotic features allows for a focus on mood disorders within this lab report.</w:t>
      </w:r>
    </w:p>
    <w:p>
      <w:pPr>
        <w:pStyle w:val="BodyText"/>
      </w:pPr>
      <w:r>
        <w:t xml:space="preserve">4. Diagnostic Assessment Methodology</w:t>
      </w:r>
    </w:p>
    <w:p>
      <w:pPr>
        <w:pStyle w:val="BodyText"/>
      </w:pPr>
      <w:r>
        <w:t xml:space="preserve">To ensure accuracy and adherence to German medical guidelines, the following multi-modal assessment protocol was utilized:</w:t>
      </w:r>
    </w:p>
    <w:p>
      <w:pPr>
        <w:numPr>
          <w:ilvl w:val="0"/>
          <w:numId w:val="1001"/>
        </w:numPr>
        <w:pStyle w:val="Compact"/>
      </w:pPr>
      <w:r>
        <w:rPr>
          <w:bCs/>
          <w:b/>
        </w:rPr>
        <w:t xml:space="preserve">Clinical Interview (Anamnesis):</w:t>
      </w:r>
      <w:r>
        <w:t xml:space="preserve">A structured interview was conducted in German to assess linguistic proficiency and cultural integration levels. The DSM-5-TR and ICD-10 criteria were cross-referenced.</w:t>
      </w:r>
    </w:p>
    <w:p>
      <w:pPr>
        <w:numPr>
          <w:ilvl w:val="0"/>
          <w:numId w:val="1001"/>
        </w:numPr>
        <w:pStyle w:val="Compact"/>
      </w:pPr>
      <w:r>
        <w:rPr>
          <w:bCs/>
          <w:b/>
        </w:rPr>
        <w:t xml:space="preserve">Psychometric Testing:</w:t>
      </w:r>
      <w:r>
        <w:t xml:space="preserve">The patient completed the Beck Depression Inventory (BDI-II) and the Generalized Anxiety Disorder 7-item scale (GAD-7). These standardized tools are widely accepted in Berlin clinics for quantifying symptom severity.</w:t>
      </w:r>
    </w:p>
    <w:p>
      <w:pPr>
        <w:numPr>
          <w:ilvl w:val="0"/>
          <w:numId w:val="1001"/>
        </w:numPr>
        <w:pStyle w:val="Compact"/>
      </w:pPr>
      <w:r>
        <w:rPr>
          <w:bCs/>
          <w:b/>
        </w:rPr>
        <w:t xml:space="preserve">Physiological Lab Work:</w:t>
      </w:r>
      <w:r>
        <w:t xml:space="preserve">Blood tests were conducted to rule out organic causes such as thyroid dysfunction (Hypothyroidism) or Vitamin D deficiency, which is prevalent in Northern Europe during winter months. These biochemical markers are essential components of a comprehensive psychiatric lab report.</w:t>
      </w:r>
    </w:p>
    <w:p>
      <w:pPr>
        <w:pStyle w:val="FirstParagraph"/>
      </w:pPr>
      <w:r>
        <w:t xml:space="preserve">5. Diagnostic Findings and Analysis</w:t>
      </w:r>
    </w:p>
    <w:p>
      <w:pPr>
        <w:pStyle w:val="BodyText"/>
      </w:pPr>
      <w:r>
        <w:rPr>
          <w:bCs/>
          <w:b/>
        </w:rPr>
        <w:t xml:space="preserve">Affective State:</w:t>
      </w:r>
      <w:r>
        <w:t xml:space="preserve">The patient exhibits a constricted affect with moments of tearfulness when discussing social rejection in workplace settings. Mood is described as "heavy" and "gray," consistent with depressive imagery.</w:t>
      </w:r>
    </w:p>
    <w:p>
      <w:pPr>
        <w:pStyle w:val="BodyText"/>
      </w:pPr>
      <w:r>
        <w:rPr>
          <w:bCs/>
          <w:b/>
        </w:rPr>
        <w:t xml:space="preserve">Cognitive Functioning:</w:t>
      </w:r>
      <w:r>
        <w:t xml:space="preserve">Cognitive testing reveals intact memory and attention span, though psychomotor retardation was noted during the interview. Decision-making processes appear slowed by excessive worry (rumination).</w:t>
      </w:r>
    </w:p>
    <w:p>
      <w:pPr>
        <w:pStyle w:val="BodyText"/>
      </w:pPr>
      <w:r>
        <w:rPr>
          <w:bCs/>
          <w:b/>
        </w:rPr>
        <w:t xml:space="preserve">Social Behavior:</w:t>
      </w:r>
      <w:r>
        <w:t xml:space="preserve">In the Berlin context, social integration is often tied to professional success and linguistic fluency. The patient’s B2 German level facilitates basic interaction but hinders deeper emotional connection, leading to perceived alienation. This sociological dimension is a key variable in the diagnosis.</w:t>
      </w:r>
    </w:p>
    <w:p>
      <w:pPr>
        <w:pStyle w:val="BodyText"/>
      </w:pPr>
      <w:r>
        <w:rPr>
          <w:bCs/>
          <w:b/>
        </w:rPr>
        <w:t xml:space="preserve">Biochemical Results:</w:t>
      </w:r>
      <w:r>
        <w:t xml:space="preserve">Laboratory results indicate normal Thyroid Stimulating Hormone (TSH) levels and mild Vitamin D deficiency (25-OH-D: 18 ng/mL). The latter correlates with seasonal affective patterns but is insufficient to explain the full clinical picture.</w:t>
      </w:r>
    </w:p>
    <w:p>
      <w:pPr>
        <w:pStyle w:val="BodyText"/>
      </w:pPr>
      <w:r>
        <w:t xml:space="preserve">6. Diagnostic Conclusion</w:t>
      </w:r>
    </w:p>
    <w:p>
      <w:pPr>
        <w:pStyle w:val="BodyText"/>
      </w:pPr>
      <w:r>
        <w:t xml:space="preserve">Based on the convergence of clinical interview data, psychometric scores (BDI-II score: 28/63 indicating severe depression; GAD-7 score: 15/21 indicating moderate anxiety), and exclusion of organic causes, the final diagnosis is:</w:t>
      </w:r>
    </w:p>
    <w:p>
      <w:pPr>
        <w:pStyle w:val="BodyText"/>
      </w:pPr>
      <w:r>
        <w:rPr>
          <w:bCs/>
          <w:b/>
        </w:rPr>
        <w:t xml:space="preserve">Primary Diagnosis:</w:t>
      </w:r>
      <w:r>
        <w:t xml:space="preserve">F32.1 – Major Depressive Disorder, Single Episode, Moderate Severity (ICD-10).</w:t>
      </w:r>
      <w:r>
        <w:br/>
      </w:r>
      <w:r>
        <w:rPr>
          <w:bCs/>
          <w:b/>
        </w:rPr>
        <w:t xml:space="preserve">Secondary Diagnosis:</w:t>
      </w:r>
      <w:r>
        <w:t xml:space="preserve">F41.0 – Panic Disorder with Agoraphobia (ICD-10).</w:t>
      </w:r>
    </w:p>
    <w:p>
      <w:pPr>
        <w:pStyle w:val="BodyText"/>
      </w:pPr>
      <w:r>
        <w:t xml:space="preserve">7. Therapeutic Recommendations and Treatment Plan</w:t>
      </w:r>
    </w:p>
    <w:p>
      <w:pPr>
        <w:pStyle w:val="BodyText"/>
      </w:pPr>
      <w:r>
        <w:t xml:space="preserve">Treatment in Germany typically follows a stepped-care approach, often involving a combination of pharmacotherapy and psychotherapy. For this patient residing in Berlin, the following plan is recommended:</w:t>
      </w:r>
    </w:p>
    <w:p>
      <w:pPr>
        <w:numPr>
          <w:ilvl w:val="0"/>
          <w:numId w:val="1002"/>
        </w:numPr>
        <w:pStyle w:val="Compact"/>
      </w:pPr>
      <w:r>
        <w:rPr>
          <w:bCs/>
          <w:b/>
        </w:rPr>
        <w:t xml:space="preserve">Pharmacotherapy:</w:t>
      </w:r>
      <w:r>
        <w:t xml:space="preserve">Prescription of Sertraline (25mg initially, titrating to 50mg) to address neurochemical imassociated with depression and anxiety. This medication is widely available at Berlin pharmacies (Apotheke) and requires careful monitoring for side effects such as gastrointestinal distress.</w:t>
      </w:r>
    </w:p>
    <w:p>
      <w:pPr>
        <w:numPr>
          <w:ilvl w:val="0"/>
          <w:numId w:val="1002"/>
        </w:numPr>
        <w:pStyle w:val="Compact"/>
      </w:pPr>
      <w:r>
        <w:rPr>
          <w:bCs/>
          <w:b/>
        </w:rPr>
        <w:t xml:space="preserve">Psychotherapy:</w:t>
      </w:r>
      <w:r>
        <w:t xml:space="preserve">Referral for Cognitive Behavioral Therapy (CBT). Given the patient’s location, a hybrid model of online sessions and in-person meetings at a practice in Mitte is suggested. CBT is the gold standard evidence-based treatment recognized by German health insurance providers.</w:t>
      </w:r>
    </w:p>
    <w:p>
      <w:pPr>
        <w:pStyle w:val="FirstParagraph"/>
      </w:pPr>
      <w:r>
        <w:rPr>
          <w:bCs/>
          <w:b/>
        </w:rPr>
        <w:t xml:space="preserve">Lifestyle Interventions:</w:t>
      </w:r>
      <w:r>
        <w:t xml:space="preserve">Encouragement to engage in structured physical activity, such as walking or jogging along the Spree river, which offers therapeutic environmental benefits unique to Berlin’s geography. Additionally, supplementation with Vitamin D3 (2000 IU daily) is prescribed to correct laboratory deficiencies.</w:t>
      </w:r>
    </w:p>
    <w:p>
      <w:pPr>
        <w:pStyle w:val="BodyText"/>
      </w:pPr>
      <w:r>
        <w:t xml:space="preserve">8. Prognosis and Follow-Up</w:t>
      </w:r>
    </w:p>
    <w:p>
      <w:pPr>
        <w:pStyle w:val="BodyText"/>
      </w:pPr>
      <w:r>
        <w:t xml:space="preserve">The prognosis is guarded but favorable, contingent upon adherence to the treatment plan and the development of a robust social support network within Berlin. Regular follow-up appointments are scheduled at 4-week intervals for the first three months to monitor medication efficacy and side effects. If no improvement is noted after 6 weeks, consultation with a specialist in psychopharmacology at Charité Berlin may be warranted.</w:t>
      </w:r>
    </w:p>
    <w:p>
      <w:pPr>
        <w:pStyle w:val="BodyText"/>
      </w:pPr>
      <w:r>
        <w:t xml:space="preserve">This lab report underscores the importance of integrating medical diagnostics with socio-cultural awareness in modern psychiatry. The diagnosis of depression and anxiety cannot be separated from the patient’s environment; therefore, treatment must address both the biological symptoms and the external stressors inherent to living in a major metropolitan hub like Germany, Berlin.</w:t>
      </w:r>
    </w:p>
    <w:p>
      <w:pPr>
        <w:pStyle w:val="BodyText"/>
      </w:pPr>
      <w:r>
        <w:rPr>
          <w:bCs/>
          <w:b/>
        </w:rPr>
        <w:t xml:space="preserve">Authorized by:</w:t>
      </w:r>
      <w:r>
        <w:br/>
      </w:r>
      <w:r>
        <w:t xml:space="preserve">Dr. Anna Schmidt, MD</w:t>
      </w:r>
      <w:r>
        <w:br/>
      </w:r>
      <w:r>
        <w:t xml:space="preserve">Senior Psychiatrist</w:t>
      </w:r>
      <w:r>
        <w:br/>
      </w:r>
      <w:r>
        <w:t xml:space="preserve">National University Hospital (Charité Campus)</w:t>
      </w:r>
    </w:p>
    <w:p>
      <w:pPr>
        <w:pStyle w:val="BodyText"/>
      </w:pPr>
      <w:r>
        <w:t xml:space="preserve">This document is confidential and intended solely for the use of the individual or entity to whom it is addressed. Unauthorized dissemination, reproduction, or distribution of this psychiatric lab report is strictly prohibited under German data protection laws (DSGVO/GDPR).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Assessment Lab Report: Clinical Evaluation in Germany Berlin</dc:title>
  <dc:creator/>
  <dc:language>en</dc:language>
  <cp:keywords/>
  <dcterms:created xsi:type="dcterms:W3CDTF">2026-07-29T17:57:58Z</dcterms:created>
  <dcterms:modified xsi:type="dcterms:W3CDTF">2026-07-29T17:57:58Z</dcterms:modified>
</cp:coreProperties>
</file>

<file path=docProps/custom.xml><?xml version="1.0" encoding="utf-8"?>
<Properties xmlns="http://schemas.openxmlformats.org/officeDocument/2006/custom-properties" xmlns:vt="http://schemas.openxmlformats.org/officeDocument/2006/docPropsVTypes"/>
</file>