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Lab</w:t>
      </w:r>
      <w:r>
        <w:t xml:space="preserve"> </w:t>
      </w:r>
      <w:r>
        <w:t xml:space="preserve">Report:</w:t>
      </w:r>
      <w:r>
        <w:t xml:space="preserve"> </w:t>
      </w:r>
      <w:r>
        <w:t xml:space="preserve">Clinical</w:t>
      </w:r>
      <w:r>
        <w:t xml:space="preserve"> </w:t>
      </w:r>
      <w:r>
        <w:t xml:space="preserve">Assessment</w:t>
      </w:r>
      <w:r>
        <w:t xml:space="preserve"> </w:t>
      </w:r>
      <w:r>
        <w:t xml:space="preserve">Framework</w:t>
      </w:r>
      <w:r>
        <w:t xml:space="preserve"> </w:t>
      </w:r>
      <w:r>
        <w:t xml:space="preserve">in</w:t>
      </w:r>
      <w:r>
        <w:t xml:space="preserve"> </w:t>
      </w:r>
      <w:r>
        <w:t xml:space="preserve">New</w:t>
      </w:r>
      <w:r>
        <w:t xml:space="preserve"> </w:t>
      </w:r>
      <w:r>
        <w:t xml:space="preserve">Zealand,</w:t>
      </w:r>
      <w:r>
        <w:t xml:space="preserve"> </w:t>
      </w:r>
      <w:r>
        <w:t xml:space="preserve">Auckland</w:t>
      </w:r>
    </w:p>
    <w:bookmarkStart w:id="37" w:name="X63da1100beaa4fd70a056de7bf4e9974d58d559"/>
    <w:p>
      <w:pPr>
        <w:pStyle w:val="Heading1"/>
      </w:pPr>
      <w:r>
        <w:t xml:space="preserve">Premium Psychiatric Evaluation and Laboratory Integration Report</w:t>
      </w:r>
    </w:p>
    <w:bookmarkStart w:id="36" w:name="X1f671bd3da0efc17a17c08dd373c6c5cc8cf63a"/>
    <w:p>
      <w:pPr>
        <w:pStyle w:val="Heading2"/>
      </w:pPr>
      <w:r>
        <w:rPr>
          <w:bCs/>
          <w:b/>
        </w:rPr>
        <w:t xml:space="preserve">Institution:</w:t>
      </w:r>
      <w:r>
        <w:t xml:space="preserve"> </w:t>
      </w:r>
      <w:r>
        <w:t xml:space="preserve">Auckland Centre for Advanced Psychiatric Health</w:t>
      </w:r>
    </w:p>
    <w:p>
      <w:pPr>
        <w:pStyle w:val="FirstParagraph"/>
      </w:pPr>
      <w:r>
        <w:rPr>
          <w:bCs/>
          <w:b/>
        </w:rPr>
        <w:t xml:space="preserve">Date of Service:</w:t>
      </w:r>
    </w:p>
    <w:p>
      <w:pPr>
        <w:pStyle w:val="BodyText"/>
      </w:pPr>
      <w:r>
        <w:rPr>
          <w:iCs/>
          <w:i/>
        </w:rPr>
        <w:t xml:space="preserve">[Date]</w:t>
      </w:r>
    </w:p>
    <w:p>
      <w:pPr>
        <w:pStyle w:val="BodyText"/>
      </w:pPr>
      <w:r>
        <w:rPr>
          <w:bCs/>
          <w:b/>
        </w:rPr>
        <w:t xml:space="preserve">Jurisdiction:</w:t>
      </w:r>
      <w:r>
        <w:t xml:space="preserve"> </w:t>
      </w:r>
      <w:r>
        <w:t xml:space="preserve">New Zealand, Auckland Region</w:t>
      </w:r>
    </w:p>
    <w:p>
      <w:pPr>
        <w:pStyle w:val="BodyText"/>
      </w:pPr>
      <w:r>
        <w:t xml:space="preserve">**Subject:** Comprehensive Psychiatric Diagnostic Laboratory Report and Clinical Correlation Framework</w:t>
      </w:r>
    </w:p>
    <w:bookmarkStart w:id="20" w:name="introduction"/>
    <w:p>
      <w:pPr>
        <w:pStyle w:val="Heading3"/>
      </w:pPr>
      <w:r>
        <w:t xml:space="preserve">1. Introduction and Purpose of the Lab Report</w:t>
      </w:r>
    </w:p>
    <w:p>
      <w:pPr>
        <w:pStyle w:val="FirstParagraph"/>
      </w:pPr>
      <w:r>
        <w:t xml:space="preserve">The purpose of this</w:t>
      </w:r>
      <w:r>
        <w:t xml:space="preserve"> </w:t>
      </w:r>
      <w:r>
        <w:rPr>
          <w:bCs/>
          <w:b/>
        </w:rPr>
        <w:t xml:space="preserve">Laboratory Report</w:t>
      </w:r>
      <w:r>
        <w:t xml:space="preserve"> </w:t>
      </w:r>
      <w:r>
        <w:t xml:space="preserve">is to document the integration of advanced biochemical, genetic, and neurophysiological assessments within a specialized psychiatric care setting. In the rapidly evolving landscape of mental health treatment in</w:t>
      </w:r>
      <w:r>
        <w:t xml:space="preserve"> </w:t>
      </w:r>
      <w:r>
        <w:rPr>
          <w:bCs/>
          <w:b/>
        </w:rPr>
        <w:t xml:space="preserve">New Zealand Auckland</w:t>
      </w:r>
      <w:r>
        <w:t xml:space="preserve">, traditional phenomenological diagnosis must be supported by objective biological data to ensure precision medicine approaches. This report outlines the protocols for utilizing laboratory findings to support</w:t>
      </w:r>
      <w:r>
        <w:t xml:space="preserve"> </w:t>
      </w:r>
      <w:r>
        <w:rPr>
          <w:bCs/>
          <w:b/>
        </w:rPr>
        <w:t xml:space="preserve">psychiatrist</w:t>
      </w:r>
      <w:r>
        <w:t xml:space="preserve"> </w:t>
      </w:r>
      <w:r>
        <w:t xml:space="preserve">diagnostic decisions, monitor pharmacotherapy efficacy, and rule out organic etiologies for psychiatric symptoms within the public and private health sectors of Auckland.</w:t>
      </w:r>
      <w:r>
        <w:t xml:space="preserve"> </w:t>
      </w:r>
      <w:r>
        <w:t xml:space="preserve">The integration of laboratory science into psychiatry is critical in</w:t>
      </w:r>
      <w:r>
        <w:t xml:space="preserve"> </w:t>
      </w:r>
      <w:r>
        <w:rPr>
          <w:bCs/>
          <w:b/>
        </w:rPr>
        <w:t xml:space="preserve">New Zealand Auckland</w:t>
      </w:r>
      <w:r>
        <w:t xml:space="preserve">, where access to cutting-edge diagnostics is facilitated by institutions such as the Auckland City Hospital pathology services. This document serves as a template for clinicians, pathologists, and multidisciplinary teams to ensure that the</w:t>
      </w:r>
      <w:r>
        <w:t xml:space="preserve"> </w:t>
      </w:r>
      <w:r>
        <w:rPr>
          <w:bCs/>
          <w:b/>
        </w:rPr>
        <w:t xml:space="preserve">Laboratory Report</w:t>
      </w:r>
      <w:r>
        <w:t xml:space="preserve"> </w:t>
      </w:r>
      <w:r>
        <w:t xml:space="preserve">provides actionable insights for the treating</w:t>
      </w:r>
      <w:r>
        <w:t xml:space="preserve"> </w:t>
      </w:r>
      <w:r>
        <w:rPr>
          <w:bCs/>
          <w:b/>
        </w:rPr>
        <w:t xml:space="preserve">psychiatrist</w:t>
      </w:r>
      <w:r>
        <w:t xml:space="preserve">.</w:t>
      </w:r>
    </w:p>
    <w:bookmarkEnd w:id="20"/>
    <w:bookmarkStart w:id="25" w:name="methodology"/>
    <w:p>
      <w:pPr>
        <w:pStyle w:val="Heading3"/>
      </w:pPr>
      <w:r>
        <w:t xml:space="preserve">2. Methodology of Psychiatric Laboratory Analysis</w:t>
      </w:r>
    </w:p>
    <w:p>
      <w:pPr>
        <w:pStyle w:val="FirstParagraph"/>
      </w:pPr>
      <w:r>
        <w:t xml:space="preserve">To provide a holistic view of patient health, this</w:t>
      </w:r>
      <w:r>
        <w:t xml:space="preserve"> </w:t>
      </w:r>
      <w:r>
        <w:rPr>
          <w:bCs/>
          <w:b/>
        </w:rPr>
        <w:t xml:space="preserve">Laboratory Report</w:t>
      </w:r>
      <w:r>
        <w:t xml:space="preserve"> </w:t>
      </w:r>
      <w:r>
        <w:t xml:space="preserve">incorporates data from several key diagnostic areas tailored to the psychiatric profile. The methodology follows the guidelines set by the Royal Australian and New Zealand College of Psychiatrists (RANZCP) and local Auckland health board standards.</w:t>
      </w:r>
    </w:p>
    <w:bookmarkStart w:id="21" w:name="comprehensive-metabolic-panel-cmp"/>
    <w:p>
      <w:pPr>
        <w:pStyle w:val="Heading4"/>
      </w:pPr>
      <w:r>
        <w:t xml:space="preserve">2.1 Comprehensive Metabolic Panel (CMP)</w:t>
      </w:r>
    </w:p>
    <w:p>
      <w:pPr>
        <w:pStyle w:val="FirstParagraph"/>
      </w:pPr>
      <w:r>
        <w:t xml:space="preserve">The initial phase of the</w:t>
      </w:r>
      <w:r>
        <w:t xml:space="preserve"> </w:t>
      </w:r>
      <w:r>
        <w:rPr>
          <w:bCs/>
          <w:b/>
        </w:rPr>
        <w:t xml:space="preserve">Laboratory Report</w:t>
      </w:r>
      <w:r>
        <w:t xml:space="preserve"> </w:t>
      </w:r>
      <w:r>
        <w:t xml:space="preserve">involves a CMP to assess liver function, kidney function, electrolyte balance, and glucose metabolism. This is essential because many psychotropic medications used by</w:t>
      </w:r>
      <w:r>
        <w:t xml:space="preserve"> </w:t>
      </w:r>
      <w:r>
        <w:rPr>
          <w:bCs/>
          <w:b/>
        </w:rPr>
        <w:t xml:space="preserve">psychiatrist</w:t>
      </w:r>
      <w:r>
        <w:t xml:space="preserve"> </w:t>
      </w:r>
      <w:r>
        <w:t xml:space="preserve">specialists in</w:t>
      </w:r>
      <w:r>
        <w:t xml:space="preserve"> </w:t>
      </w:r>
      <w:r>
        <w:rPr>
          <w:bCs/>
          <w:b/>
        </w:rPr>
        <w:t xml:space="preserve">New Zealand Auckland</w:t>
      </w:r>
      <w:r>
        <w:t xml:space="preserve"> </w:t>
      </w:r>
      <w:r>
        <w:t xml:space="preserve">are metabolized hepatically or renally. Abnormalities in these areas can significantly alter drug pharmacokinetics, leading to toxicity or subtherapeutic levels.</w:t>
      </w:r>
    </w:p>
    <w:bookmarkEnd w:id="21"/>
    <w:bookmarkStart w:id="22" w:name="X22a3c33570ba30a111c1723adf3c0f6b565ddc1"/>
    <w:p>
      <w:pPr>
        <w:pStyle w:val="Heading4"/>
      </w:pPr>
      <w:r>
        <w:t xml:space="preserve">2.2 Thyroid Function Tests (TSH, Free T4, Free T3)</w:t>
      </w:r>
    </w:p>
    <w:p>
      <w:pPr>
        <w:pStyle w:val="FirstParagraph"/>
      </w:pPr>
      <w:r>
        <w:t xml:space="preserve">Thyroid dysfunction is a common mimic of mood disorders such as depression and anxiety. The</w:t>
      </w:r>
      <w:r>
        <w:t xml:space="preserve"> </w:t>
      </w:r>
      <w:r>
        <w:rPr>
          <w:bCs/>
          <w:b/>
        </w:rPr>
        <w:t xml:space="preserve">Laboratory Report</w:t>
      </w:r>
      <w:r>
        <w:t xml:space="preserve"> </w:t>
      </w:r>
      <w:r>
        <w:t xml:space="preserve">rigorously evaluates thyroid hormones to exclude endocrine causes for psychiatric presentations before attributing symptoms solely to primary mental health conditions.</w:t>
      </w:r>
    </w:p>
    <w:bookmarkEnd w:id="22"/>
    <w:bookmarkStart w:id="23" w:name="nutritional-deficiencies-and-biomarkers"/>
    <w:p>
      <w:pPr>
        <w:pStyle w:val="Heading4"/>
      </w:pPr>
      <w:r>
        <w:t xml:space="preserve">2.3 Nutritional Deficiencies and Biomarkers</w:t>
      </w:r>
    </w:p>
    <w:p>
      <w:pPr>
        <w:pStyle w:val="FirstParagraph"/>
      </w:pPr>
      <w:r>
        <w:t xml:space="preserve">Deficiencies in Vitamin B12, Folate, and Vitamin D are prevalent in the</w:t>
      </w:r>
      <w:r>
        <w:t xml:space="preserve"> </w:t>
      </w:r>
      <w:r>
        <w:rPr>
          <w:bCs/>
          <w:b/>
        </w:rPr>
        <w:t xml:space="preserve">New Zealand Auckland</w:t>
      </w:r>
      <w:r>
        <w:t xml:space="preserve"> </w:t>
      </w:r>
      <w:r>
        <w:t xml:space="preserve">population and are linked to depressive symptoms and cognitive decline. The</w:t>
      </w:r>
      <w:r>
        <w:t xml:space="preserve"> </w:t>
      </w:r>
      <w:r>
        <w:rPr>
          <w:bCs/>
          <w:b/>
        </w:rPr>
        <w:t xml:space="preserve">Laboratory Report</w:t>
      </w:r>
      <w:r>
        <w:t xml:space="preserve"> </w:t>
      </w:r>
      <w:r>
        <w:t xml:space="preserve">includes these markers to guide supplementation strategies that may augment standard psychiatric treatments.</w:t>
      </w:r>
    </w:p>
    <w:bookmarkEnd w:id="23"/>
    <w:bookmarkStart w:id="24" w:name="pharmacogenomic-testing-pgx"/>
    <w:p>
      <w:pPr>
        <w:pStyle w:val="Heading4"/>
      </w:pPr>
      <w:r>
        <w:t xml:space="preserve">2.4 Pharmacogenomic Testing (PGx)</w:t>
      </w:r>
    </w:p>
    <w:p>
      <w:pPr>
        <w:pStyle w:val="FirstParagraph"/>
      </w:pPr>
      <w:r>
        <w:t xml:space="preserve">In advanced psychiatric care within</w:t>
      </w:r>
      <w:r>
        <w:t xml:space="preserve"> </w:t>
      </w:r>
      <w:r>
        <w:rPr>
          <w:bCs/>
          <w:b/>
        </w:rPr>
        <w:t xml:space="preserve">New Zealand Auckland</w:t>
      </w:r>
      <w:r>
        <w:t xml:space="preserve">, pharmacogenomic testing is increasingly utilized. This component of the</w:t>
      </w:r>
      <w:r>
        <w:t xml:space="preserve"> </w:t>
      </w:r>
      <w:r>
        <w:rPr>
          <w:bCs/>
          <w:b/>
        </w:rPr>
        <w:t xml:space="preserve">Laboratory Report</w:t>
      </w:r>
      <w:r>
        <w:t xml:space="preserve"> </w:t>
      </w:r>
      <w:r>
        <w:t xml:space="preserve">analyzes genetic variations in cytochrome P450 enzymes (CYP2D6, CYP2C19). This data allows the</w:t>
      </w:r>
      <w:r>
        <w:t xml:space="preserve"> </w:t>
      </w:r>
      <w:r>
        <w:rPr>
          <w:bCs/>
          <w:b/>
        </w:rPr>
        <w:t xml:space="preserve">psychiatrist</w:t>
      </w:r>
      <w:r>
        <w:t xml:space="preserve"> </w:t>
      </w:r>
      <w:r>
        <w:t xml:space="preserve">to predict metabolic phenotypes, thereby prescribing medications with higher efficacy and lower risk of adverse effects.</w:t>
      </w:r>
    </w:p>
    <w:bookmarkEnd w:id="24"/>
    <w:bookmarkEnd w:id="25"/>
    <w:bookmarkStart w:id="29" w:name="results_interpretation"/>
    <w:p>
      <w:pPr>
        <w:pStyle w:val="Heading3"/>
      </w:pPr>
      <w:r>
        <w:t xml:space="preserve">3. Interpretation of Laboratory Findings by the Psychiatrist</w:t>
      </w:r>
    </w:p>
    <w:p>
      <w:pPr>
        <w:pStyle w:val="FirstParagraph"/>
      </w:pPr>
      <w:r>
        <w:t xml:space="preserve">The value of this</w:t>
      </w:r>
      <w:r>
        <w:t xml:space="preserve"> </w:t>
      </w:r>
      <w:r>
        <w:rPr>
          <w:bCs/>
          <w:b/>
        </w:rPr>
        <w:t xml:space="preserve">Laboratory Report</w:t>
      </w:r>
      <w:r>
        <w:t xml:space="preserve"> </w:t>
      </w:r>
      <w:r>
        <w:t xml:space="preserve">lies in its interpretation by a qualified</w:t>
      </w:r>
      <w:r>
        <w:t xml:space="preserve"> </w:t>
      </w:r>
      <w:r>
        <w:rPr>
          <w:bCs/>
          <w:b/>
        </w:rPr>
        <w:t xml:space="preserve">psychiatrist</w:t>
      </w:r>
      <w:r>
        <w:t xml:space="preserve">. Raw data must be contextualized against clinical symptoms, cultural factors relevant to the diverse populations of</w:t>
      </w:r>
      <w:r>
        <w:t xml:space="preserve"> </w:t>
      </w:r>
      <w:r>
        <w:rPr>
          <w:bCs/>
          <w:b/>
        </w:rPr>
        <w:t xml:space="preserve">New Zealand Auckland, and social determinants of health.</w:t>
      </w:r>
    </w:p>
    <w:bookmarkStart w:id="26" w:name="Xe576cd4f8ed92f4cd7fc89948680772c16ce814"/>
    <w:p>
      <w:pPr>
        <w:pStyle w:val="Heading4"/>
      </w:pPr>
      <w:r>
        <w:t xml:space="preserve">3.1 Correlating Biomarkers with Symptomatology</w:t>
      </w:r>
    </w:p>
    <w:p>
      <w:pPr>
        <w:pStyle w:val="FirstParagraph"/>
      </w:pPr>
      <w:r>
        <w:t xml:space="preserve">If the</w:t>
      </w:r>
      <w:r>
        <w:t xml:space="preserve"> </w:t>
      </w:r>
      <w:r>
        <w:rPr>
          <w:bCs/>
          <w:b/>
        </w:rPr>
        <w:t xml:space="preserve">Laboratory Report</w:t>
      </w:r>
      <w:r>
        <w:t xml:space="preserve"> </w:t>
      </w:r>
      <w:r>
        <w:t xml:space="preserve">indicates elevated inflammatory markers (such as CRP or IL-6), the treating</w:t>
      </w:r>
      <w:r>
        <w:t xml:space="preserve"> </w:t>
      </w:r>
      <w:r>
        <w:rPr>
          <w:bCs/>
          <w:b/>
        </w:rPr>
        <w:t xml:space="preserve">psychiatrist</w:t>
      </w:r>
      <w:r>
        <w:t xml:space="preserve"> </w:t>
      </w:r>
      <w:r>
        <w:t xml:space="preserve">may consider an inflammatory subtype of depression, potentially exploring anti-inflammatory adjunctive therapies. Similarly, evidence of thyroid autoimmunity may necessitate a multidisciplinary approach involving endocrinology alongside psychiatric care in Auckland.</w:t>
      </w:r>
    </w:p>
    <w:bookmarkEnd w:id="26"/>
    <w:bookmarkStart w:id="27" w:name="medication-management-and-toxicology"/>
    <w:p>
      <w:pPr>
        <w:pStyle w:val="Heading4"/>
      </w:pPr>
      <w:r>
        <w:t xml:space="preserve">3.2 Medication Management and Toxicology</w:t>
      </w:r>
    </w:p>
    <w:p>
      <w:pPr>
        <w:pStyle w:val="FirstParagraph"/>
      </w:pPr>
      <w:r>
        <w:t xml:space="preserve">The</w:t>
      </w:r>
      <w:r>
        <w:t xml:space="preserve"> </w:t>
      </w:r>
      <w:r>
        <w:rPr>
          <w:bCs/>
          <w:b/>
        </w:rPr>
        <w:t xml:space="preserve">Laboratory Report</w:t>
      </w:r>
      <w:r>
        <w:t xml:space="preserve"> </w:t>
      </w:r>
      <w:r>
        <w:t xml:space="preserve">provides crucial data on therapeutic drug monitoring (TDM). For patients in</w:t>
      </w:r>
      <w:r>
        <w:t xml:space="preserve"> </w:t>
      </w:r>
      <w:r>
        <w:rPr>
          <w:bCs/>
          <w:b/>
        </w:rPr>
        <w:t xml:space="preserve">New Zealand Auckland undergoing treatment with lithium, valproate, or clozapine, regular blood tests are mandated for safety. The</w:t>
      </w:r>
      <w:r>
        <w:rPr>
          <w:bCs/>
          <w:b/>
        </w:rPr>
        <w:t xml:space="preserve"> </w:t>
      </w:r>
      <w:r>
        <w:rPr>
          <w:bCs/>
          <w:b/>
          <w:bCs/>
          <w:b/>
        </w:rPr>
        <w:t xml:space="preserve">Laboratory Report</w:t>
      </w:r>
      <w:r>
        <w:rPr>
          <w:bCs/>
          <w:b/>
        </w:rPr>
        <w:t xml:space="preserve"> </w:t>
      </w:r>
      <w:r>
        <w:rPr>
          <w:bCs/>
          <w:b/>
        </w:rPr>
        <w:t xml:space="preserve">ensures that serum levels remain within the therapeutic window, preventing toxicity while maintaining efficacy. The</w:t>
      </w:r>
      <w:r>
        <w:rPr>
          <w:bCs/>
          <w:b/>
        </w:rPr>
        <w:t xml:space="preserve"> </w:t>
      </w:r>
      <w:r>
        <w:rPr>
          <w:bCs/>
          <w:b/>
          <w:bCs/>
          <w:b/>
        </w:rPr>
        <w:t xml:space="preserve">psychiatrist uses these values to adjust dosages precisely.</w:t>
      </w:r>
    </w:p>
    <w:bookmarkEnd w:id="27"/>
    <w:bookmarkStart w:id="28" w:name="ruling-out-organic-causes"/>
    <w:p>
      <w:pPr>
        <w:pStyle w:val="Heading4"/>
      </w:pPr>
      <w:r>
        <w:t xml:space="preserve">3.3 Ruling Out Organic Causes</w:t>
      </w:r>
    </w:p>
    <w:p>
      <w:pPr>
        <w:pStyle w:val="FirstParagraph"/>
      </w:pPr>
      <w:r>
        <w:t xml:space="preserve">A comprehensive</w:t>
      </w:r>
      <w:r>
        <w:t xml:space="preserve"> </w:t>
      </w:r>
      <w:r>
        <w:rPr>
          <w:bCs/>
          <w:b/>
        </w:rPr>
        <w:t xml:space="preserve">Laboratory Report</w:t>
      </w:r>
      <w:r>
        <w:br/>
      </w:r>
      <w:r>
        <w:rPr>
          <w:bCs/>
          <w:b/>
        </w:rPr>
        <w:t xml:space="preserve">is vital for ruling out organic causes such as porphyria, heavy metal poisoning, or autoimmune encephalitis, which can present with acute psychiatric symptoms. In the Auckland context, where access to specialized neurology and immunology labs is high, this differential diagnosis is streamlined through integrated reporting systems.</w:t>
      </w:r>
    </w:p>
    <w:bookmarkEnd w:id="28"/>
    <w:bookmarkEnd w:id="29"/>
    <w:bookmarkStart w:id="33" w:name="local_context"/>
    <w:p>
      <w:pPr>
        <w:pStyle w:val="Heading3"/>
      </w:pPr>
      <w:r>
        <w:t xml:space="preserve">4. Specific Considerations for New Zealand Auckland</w:t>
      </w:r>
    </w:p>
    <w:p>
      <w:pPr>
        <w:pStyle w:val="FirstParagraph"/>
      </w:pPr>
      <w:r>
        <w:t xml:space="preserve">The</w:t>
      </w:r>
      <w:r>
        <w:t xml:space="preserve"> </w:t>
      </w:r>
      <w:r>
        <w:rPr>
          <w:bCs/>
          <w:b/>
        </w:rPr>
        <w:t xml:space="preserve">Laboratory Report must reflect the unique healthcare environment of</w:t>
      </w:r>
      <w:r>
        <w:rPr>
          <w:bCs/>
          <w:b/>
        </w:rPr>
        <w:t xml:space="preserve"> </w:t>
      </w:r>
      <w:r>
        <w:rPr>
          <w:bCs/>
          <w:b/>
          <w:bCs/>
          <w:b/>
        </w:rPr>
        <w:t xml:space="preserve">New Zealand Auckland. This region has a multicultural population with significant Māori and Pacific Islander communities, as well as a large migrant population. Cultural competence is essential when interpreting psychiatric data.</w:t>
      </w:r>
    </w:p>
    <w:bookmarkStart w:id="30" w:name="health-equity-and-access"/>
    <w:p>
      <w:pPr>
        <w:pStyle w:val="Heading4"/>
      </w:pPr>
      <w:r>
        <w:t xml:space="preserve">4.1 Health Equity and Access</w:t>
      </w:r>
    </w:p>
    <w:p>
      <w:pPr>
        <w:pStyle w:val="FirstParagraph"/>
      </w:pPr>
      <w:r>
        <w:t xml:space="preserve">In</w:t>
      </w:r>
      <w:r>
        <w:t xml:space="preserve"> </w:t>
      </w:r>
      <w:r>
        <w:rPr>
          <w:bCs/>
          <w:b/>
        </w:rPr>
        <w:t xml:space="preserve">New Zealand Auckland, health equity remains a priority. The</w:t>
      </w:r>
      <w:r>
        <w:rPr>
          <w:bCs/>
          <w:b/>
        </w:rPr>
        <w:t xml:space="preserve"> </w:t>
      </w:r>
      <w:r>
        <w:rPr>
          <w:bCs/>
          <w:b/>
          <w:bCs/>
          <w:b/>
        </w:rPr>
        <w:t xml:space="preserve">Laboratory Report should highlight any barriers to accessing follow-up care or specialized psychiatric treatment that may be influenced by socioeconomic status, rural vs. urban residence within the wider Auckland region, or language barriers. The</w:t>
      </w:r>
      <w:r>
        <w:rPr>
          <w:bCs/>
          <w:b/>
          <w:bCs/>
          <w:b/>
        </w:rPr>
        <w:t xml:space="preserve"> </w:t>
      </w:r>
      <w:r>
        <w:rPr>
          <w:bCs/>
          <w:b/>
          <w:bCs/>
          <w:b/>
          <w:bCs/>
          <w:b/>
        </w:rPr>
        <w:t xml:space="preserve">psychiatrist must consider these factors when formulating a treatment plan based on laboratory findings.</w:t>
      </w:r>
    </w:p>
    <w:bookmarkEnd w:id="30"/>
    <w:bookmarkStart w:id="31" w:name="integration-with-primary-care"/>
    <w:p>
      <w:pPr>
        <w:pStyle w:val="Heading4"/>
      </w:pPr>
      <w:r>
        <w:t xml:space="preserve">4.2 Integration with Primary Care</w:t>
      </w:r>
    </w:p>
    <w:p>
      <w:pPr>
        <w:pStyle w:val="FirstParagraph"/>
      </w:pPr>
      <w:r>
        <w:t xml:space="preserve">Auckland’s primary care system plays a vital role in mental health support. The</w:t>
      </w:r>
      <w:r>
        <w:t xml:space="preserve"> </w:t>
      </w:r>
      <w:r>
        <w:rPr>
          <w:bCs/>
          <w:b/>
        </w:rPr>
        <w:t xml:space="preserve">Laboratory Report</w:t>
      </w:r>
      <w:r>
        <w:br/>
      </w:r>
      <w:r>
        <w:rPr>
          <w:bCs/>
          <w:b/>
        </w:rPr>
        <w:t xml:space="preserve">is designed to be shared seamlessly between GPs, hospital-based</w:t>
      </w:r>
      <w:r>
        <w:rPr>
          <w:bCs/>
          <w:b/>
        </w:rPr>
        <w:t xml:space="preserve"> </w:t>
      </w:r>
      <w:r>
        <w:rPr>
          <w:bCs/>
          <w:b/>
          <w:bCs/>
          <w:b/>
        </w:rPr>
        <w:t xml:space="preserve">psychiatrists, and community mental health teams in Auckland. This interoperability ensures that laboratory results are acted upon promptly across the continuum of care.</w:t>
      </w:r>
    </w:p>
    <w:bookmarkEnd w:id="31"/>
    <w:bookmarkStart w:id="32" w:name="environmental-factors"/>
    <w:p>
      <w:pPr>
        <w:pStyle w:val="Heading4"/>
      </w:pPr>
      <w:r>
        <w:t xml:space="preserve">4.3 Environmental Factors</w:t>
      </w:r>
    </w:p>
    <w:p>
      <w:pPr>
        <w:pStyle w:val="FirstParagraph"/>
      </w:pPr>
      <w:r>
        <w:t xml:space="preserve">While less common in routine psychiatric labs, environmental exposures relevant to specific industrial zones in Auckland may be considered if suggested by family history or occupational exposure noted during the clinical interview. The</w:t>
      </w:r>
      <w:r>
        <w:t xml:space="preserve"> </w:t>
      </w:r>
      <w:r>
        <w:rPr>
          <w:bCs/>
          <w:b/>
        </w:rPr>
        <w:t xml:space="preserve">Laboratory Report</w:t>
      </w:r>
      <w:r>
        <w:br/>
      </w:r>
      <w:r>
        <w:rPr>
          <w:bCs/>
          <w:b/>
        </w:rPr>
        <w:t xml:space="preserve">provides a baseline for such investigations if warranted by the</w:t>
      </w:r>
      <w:r>
        <w:rPr>
          <w:bCs/>
          <w:b/>
        </w:rPr>
        <w:t xml:space="preserve"> </w:t>
      </w:r>
      <w:r>
        <w:rPr>
          <w:bCs/>
          <w:b/>
          <w:bCs/>
          <w:b/>
        </w:rPr>
        <w:t xml:space="preserve">psychiatrist</w:t>
      </w:r>
      <w:r>
        <w:br/>
      </w:r>
      <w:r>
        <w:rPr>
          <w:bCs/>
          <w:b/>
          <w:bCs/>
          <w:b/>
          <w:bCs/>
          <w:b/>
        </w:rPr>
        <w:t xml:space="preserve">New Zealand Auckland specific environmental health data.</w:t>
      </w:r>
    </w:p>
    <w:bookmarkEnd w:id="32"/>
    <w:bookmarkEnd w:id="33"/>
    <w:bookmarkStart w:id="34" w:name="conclusion"/>
    <w:p>
      <w:pPr>
        <w:pStyle w:val="Heading3"/>
      </w:pPr>
      <w:r>
        <w:t xml:space="preserve">5. Conclusion and Recommendations</w:t>
      </w:r>
    </w:p>
    <w:p>
      <w:pPr>
        <w:pStyle w:val="FirstParagraph"/>
      </w:pPr>
      <w:r>
        <w:t xml:space="preserve">This document underscores the indispensable role of the</w:t>
      </w:r>
      <w:r>
        <w:t xml:space="preserve"> </w:t>
      </w:r>
      <w:r>
        <w:rPr>
          <w:bCs/>
          <w:b/>
        </w:rPr>
        <w:t xml:space="preserve">Laboratory Report</w:t>
      </w:r>
      <w:r>
        <w:br/>
      </w:r>
      <w:r>
        <w:rPr>
          <w:bCs/>
          <w:b/>
        </w:rPr>
        <w:t xml:space="preserve">in modern psychiatric practice within</w:t>
      </w:r>
      <w:r>
        <w:rPr>
          <w:bCs/>
          <w:b/>
        </w:rPr>
        <w:t xml:space="preserve"> </w:t>
      </w:r>
      <w:r>
        <w:rPr>
          <w:bCs/>
          <w:b/>
          <w:bCs/>
          <w:b/>
        </w:rPr>
        <w:t xml:space="preserve">New Zealand Auckland. By integrating biochemical, genetic, and physiological data, clinicians can move beyond symptom management toward a more holistic understanding of mental health disorders.</w:t>
      </w:r>
      <w:r>
        <w:rPr>
          <w:bCs/>
          <w:b/>
          <w:bCs/>
          <w:b/>
        </w:rPr>
        <w:t xml:space="preserve"> </w:t>
      </w:r>
      <w:r>
        <w:rPr>
          <w:bCs/>
          <w:b/>
          <w:bCs/>
          <w:b/>
        </w:rPr>
        <w:t xml:space="preserve">For every patient treated by a</w:t>
      </w:r>
      <w:r>
        <w:rPr>
          <w:bCs/>
          <w:b/>
          <w:bCs/>
          <w:b/>
        </w:rPr>
        <w:t xml:space="preserve"> </w:t>
      </w:r>
      <w:r>
        <w:rPr>
          <w:bCs/>
          <w:b/>
          <w:bCs/>
          <w:b/>
          <w:bCs/>
          <w:b/>
        </w:rPr>
        <w:t xml:space="preserve">psychiatrist</w:t>
      </w:r>
      <w:r>
        <w:br/>
      </w:r>
      <w:r>
        <w:rPr>
          <w:bCs/>
          <w:b/>
          <w:bCs/>
          <w:b/>
          <w:bCs/>
          <w:b/>
        </w:rPr>
        <w:t xml:space="preserve">in this region, the</w:t>
      </w:r>
      <w:r>
        <w:rPr>
          <w:bCs/>
          <w:b/>
          <w:bCs/>
          <w:b/>
          <w:bCs/>
          <w:b/>
        </w:rPr>
        <w:t xml:space="preserve"> </w:t>
      </w:r>
      <w:r>
        <w:rPr>
          <w:bCs/>
          <w:b/>
          <w:bCs/>
          <w:b/>
          <w:bCs/>
          <w:b/>
          <w:bCs/>
          <w:b/>
        </w:rPr>
        <w:t xml:space="preserve">Laboratory Report</w:t>
      </w:r>
      <w:r>
        <w:br/>
      </w:r>
      <w:r>
        <w:rPr>
          <w:bCs/>
          <w:b/>
          <w:bCs/>
          <w:b/>
          <w:bCs/>
          <w:b/>
          <w:bCs/>
          <w:b/>
        </w:rPr>
        <w:t xml:space="preserve">serves as an objective anchor for clinical decision-making. It enhances diagnostic accuracy, improves medication safety, and supports personalized treatment plans. As healthcare technology advances in Auckland, the depth and utility of psychiatric laboratory investigations will continue to grow.</w:t>
      </w:r>
      <w:r>
        <w:rPr>
          <w:bCs/>
          <w:b/>
          <w:bCs/>
          <w:b/>
          <w:bCs/>
          <w:b/>
          <w:bCs/>
          <w:b/>
        </w:rPr>
        <w:t xml:space="preserve"> </w:t>
      </w:r>
      <w:r>
        <w:rPr>
          <w:bCs/>
          <w:b/>
          <w:bCs/>
          <w:b/>
          <w:bCs/>
          <w:b/>
          <w:bCs/>
          <w:b/>
        </w:rPr>
        <w:t xml:space="preserve">It is recommended that all mental health professionals in</w:t>
      </w:r>
      <w:r>
        <w:rPr>
          <w:bCs/>
          <w:b/>
          <w:bCs/>
          <w:b/>
          <w:bCs/>
          <w:b/>
          <w:bCs/>
          <w:b/>
        </w:rPr>
        <w:t xml:space="preserve"> </w:t>
      </w:r>
      <w:r>
        <w:rPr>
          <w:bCs/>
          <w:b/>
          <w:bCs/>
          <w:b/>
          <w:bCs/>
          <w:b/>
          <w:bCs/>
          <w:b/>
          <w:bCs/>
          <w:b/>
        </w:rPr>
        <w:t xml:space="preserve">New Zealand Auckland adhere to standardized protocols for ordering and interpreting these reports. Continuous education on new biomarkers and genetic tests is encouraged to ensure that the</w:t>
      </w:r>
      <w:r>
        <w:rPr>
          <w:bCs/>
          <w:b/>
          <w:bCs/>
          <w:b/>
          <w:bCs/>
          <w:b/>
          <w:bCs/>
          <w:b/>
          <w:bCs/>
          <w:b/>
        </w:rPr>
        <w:t xml:space="preserve"> </w:t>
      </w:r>
      <w:r>
        <w:rPr>
          <w:bCs/>
          <w:b/>
          <w:bCs/>
          <w:b/>
          <w:bCs/>
          <w:b/>
          <w:bCs/>
          <w:b/>
          <w:bCs/>
          <w:b/>
          <w:bCs/>
          <w:b/>
        </w:rPr>
        <w:t xml:space="preserve">Laboratory Report</w:t>
      </w:r>
      <w:r>
        <w:br/>
      </w:r>
      <w:r>
        <w:rPr>
          <w:bCs/>
          <w:b/>
          <w:bCs/>
          <w:b/>
          <w:bCs/>
          <w:b/>
          <w:bCs/>
          <w:b/>
          <w:bCs/>
          <w:b/>
          <w:bCs/>
          <w:b/>
        </w:rPr>
        <w:t xml:space="preserve">remains at the forefront of psychiatric innovation.</w:t>
      </w:r>
    </w:p>
    <w:bookmarkEnd w:id="34"/>
    <w:bookmarkStart w:id="35" w:name="signatures"/>
    <w:p>
      <w:pPr>
        <w:pStyle w:val="Heading3"/>
      </w:pPr>
      <w:r>
        <w:t xml:space="preserve">6. Sign-Offs</w:t>
      </w:r>
    </w:p>
    <w:p>
      <w:pPr>
        <w:pStyle w:val="FirstParagraph"/>
      </w:pPr>
      <w:r>
        <w:rPr>
          <w:bCs/>
          <w:b/>
        </w:rPr>
        <w:t xml:space="preserve">Pathologist:</w:t>
      </w:r>
    </w:p>
    <w:p>
      <w:pPr>
        <w:pStyle w:val="BodyText"/>
      </w:pPr>
      <w:r>
        <w:t xml:space="preserve">[Name, Credentials]</w:t>
      </w:r>
      <w:r>
        <w:br/>
      </w:r>
      <w:r>
        <w:t xml:space="preserve">[Auckland Pathology Service]</w:t>
      </w:r>
      <w:r>
        <w:br/>
      </w:r>
      <w:r>
        <w:t xml:space="preserve">[Date]</w:t>
      </w:r>
    </w:p>
    <w:p>
      <w:pPr>
        <w:pStyle w:val="BodyText"/>
      </w:pPr>
      <w:r>
        <w:rPr>
          <w:bCs/>
          <w:b/>
        </w:rPr>
        <w:t xml:space="preserve">Treating Psychiatrist:</w:t>
      </w:r>
    </w:p>
    <w:p>
      <w:pPr>
        <w:pStyle w:val="BodyText"/>
      </w:pPr>
      <w:r>
        <w:t xml:space="preserve">[Name, MBChB, FRANZCP]</w:t>
      </w:r>
      <w:r>
        <w:br/>
      </w:r>
      <w:r>
        <w:t xml:space="preserve">[Auckland Mental Health Service][Date]</w:t>
      </w:r>
    </w:p>
    <w:p>
      <w:pPr>
        <w:pStyle w:val="BodyText"/>
      </w:pPr>
      <w:r>
        <w:t xml:space="preserve">This</w:t>
      </w:r>
    </w:p>
    <w:p>
      <w:pPr>
        <w:pStyle w:val="BodyText"/>
      </w:pPr>
      <w:r>
        <w:t xml:space="preserve">Laboratory Report is confidential and intended for the use of the treating</w:t>
      </w:r>
    </w:p>
    <w:p>
      <w:pPr>
        <w:pStyle w:val="BodyText"/>
      </w:pPr>
      <w:r>
        <w:t xml:space="preserve">psychiatrist</w:t>
      </w:r>
      <w:r>
        <w:br/>
      </w:r>
      <w:r>
        <w:t xml:space="preserve">and authorized healthcare providers in</w:t>
      </w:r>
    </w:p>
    <w:p>
      <w:pPr>
        <w:pStyle w:val="BodyText"/>
      </w:pPr>
      <w:r>
        <w:t xml:space="preserve">New Zealand Auckland.</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Lab Report: Clinical Assessment Framework in New Zealand, Auckland</dc:title>
  <dc:creator/>
  <cp:keywords/>
  <dcterms:created xsi:type="dcterms:W3CDTF">2026-07-30T07:11:54Z</dcterms:created>
  <dcterms:modified xsi:type="dcterms:W3CDTF">2026-07-30T07:11:54Z</dcterms:modified>
</cp:coreProperties>
</file>

<file path=docProps/custom.xml><?xml version="1.0" encoding="utf-8"?>
<Properties xmlns="http://schemas.openxmlformats.org/officeDocument/2006/custom-properties" xmlns:vt="http://schemas.openxmlformats.org/officeDocument/2006/docPropsVTypes"/>
</file>