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Psychiatrist</w:t>
      </w:r>
      <w:r>
        <w:t xml:space="preserve"> </w:t>
      </w:r>
      <w:r>
        <w:t xml:space="preserve">Evaluation</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f6fe07b094069ceade18c8b390160f07e4150e8"/>
    <w:p>
      <w:pPr>
        <w:pStyle w:val="Heading1"/>
      </w:pPr>
      <w:r>
        <w:t xml:space="preserve">Clinical Assessment &amp; Diagnostic Lab Report</w:t>
      </w:r>
    </w:p>
    <w:p>
      <w:pPr>
        <w:pStyle w:val="FirstParagraph"/>
      </w:pPr>
      <w:r>
        <w:rPr>
          <w:bCs/>
          <w:b/>
        </w:rPr>
        <w:t xml:space="preserve">Jurisdiction:</w:t>
      </w:r>
      <w:r>
        <w:t xml:space="preserve"> </w:t>
      </w:r>
      <w:r>
        <w:t xml:space="preserve">United States, State of Texas, Houston Metropolitan Area</w:t>
      </w:r>
    </w:p>
    <w:p>
      <w:pPr>
        <w:pStyle w:val="BodyText"/>
      </w:pPr>
      <w:r>
        <w:rPr>
          <w:bCs/>
          <w:b/>
        </w:rPr>
        <w:t xml:space="preserve">Date of Report:</w:t>
      </w:r>
      <w:r>
        <w:t xml:space="preserve"> </w:t>
      </w:r>
      <w:r>
        <w:t xml:space="preserve">October 24, 2023</w:t>
      </w:r>
    </w:p>
    <w:p>
      <w:pPr>
        <w:pStyle w:val="BodyText"/>
      </w:pPr>
      <w:r>
        <w:rPr>
          <w:bCs/>
          <w:b/>
        </w:rPr>
        <w:t xml:space="preserve">Patient ID:</w:t>
      </w:r>
      <w:r>
        <w:t xml:space="preserve">#TX-HST-9984-B</w:t>
      </w:r>
    </w:p>
    <w:bookmarkEnd w:id="20"/>
    <w:bookmarkStart w:id="21" w:name="X83c5a6995b274fbff7e48e937d8a9964d055593"/>
    <w:p>
      <w:pPr>
        <w:pStyle w:val="Heading2"/>
      </w:pPr>
      <w:r>
        <w:t xml:space="preserve">I. Executive Summary and Contextual Background</w:t>
      </w:r>
    </w:p>
    <w:p>
      <w:pPr>
        <w:pStyle w:val="FirstParagraph"/>
      </w:pPr>
      <w:r>
        <w:t xml:space="preserve">This document serves as a comprehensive clinical laboratory report detailing the psychiatric evaluation, diagnostic assessment, and therapeutic planning for Patient #TX-HST-9984-B. The scope of this report is strictly confined to the healthcare regulations, cultural demographics, and clinical standards prevalent within</w:t>
      </w:r>
      <w:r>
        <w:t xml:space="preserve"> </w:t>
      </w:r>
      <w:r>
        <w:rPr>
          <w:bCs/>
          <w:b/>
        </w:rPr>
        <w:t xml:space="preserve">United States Houston</w:t>
      </w:r>
      <w:r>
        <w:t xml:space="preserve">. It is imperative that all practitioners referencing this data understand that the region of Houston presents a unique epidemiological profile characterized by high humidity, significant socioeconomic diversity, and a rapidly expanding multicultural population. These environmental and social determinants directly influence the presentation of mental health symptoms and must be accounted for during any</w:t>
      </w:r>
      <w:r>
        <w:t xml:space="preserve"> </w:t>
      </w:r>
      <w:r>
        <w:rPr>
          <w:bCs/>
          <w:b/>
        </w:rPr>
        <w:t xml:space="preserve">Psychiatrist</w:t>
      </w:r>
      <w:r>
        <w:t xml:space="preserve"> </w:t>
      </w:r>
      <w:r>
        <w:t xml:space="preserve">consultation or intervention.</w:t>
      </w:r>
    </w:p>
    <w:p>
      <w:pPr>
        <w:pStyle w:val="BodyText"/>
      </w:pPr>
      <w:r>
        <w:t xml:space="preserve">The primary objective of this laboratory report is to establish a baseline for neurological functioning, biochemical markers, and psychological stability. By adhering to the rigorous standards set forth by the American Psychiatric Association (APA) and local Texas medical boards, this document ensures that the subsequent treatment plan is both evidence-based and culturally competent. The term "Lab Report" in this context extends beyond standard blood work; it encompasses a multidimensional analysis of neurocognitive performance, pharmacogenomic potential, and environmental stressors specific to the Gulf Coast region.</w:t>
      </w:r>
    </w:p>
    <w:bookmarkEnd w:id="21"/>
    <w:bookmarkStart w:id="22" w:name="X27173215e41b516d76894a52c541eacb9113971"/>
    <w:p>
      <w:pPr>
        <w:pStyle w:val="Heading2"/>
      </w:pPr>
      <w:r>
        <w:t xml:space="preserve">II. Methodology and Clinical Interviewing Protocols</w:t>
      </w:r>
    </w:p>
    <w:p>
      <w:pPr>
        <w:pStyle w:val="FirstParagraph"/>
      </w:pPr>
      <w:r>
        <w:t xml:space="preserve">The evaluation process utilized in this report follows the Diagnostic and Statistical Manual of Mental Disorders (DSM-5-TR) criteria. The initial phase involved a comprehensive psychiatric interview conducted by a board-certified</w:t>
      </w:r>
      <w:r>
        <w:t xml:space="preserve"> </w:t>
      </w:r>
      <w:r>
        <w:rPr>
          <w:bCs/>
          <w:b/>
        </w:rPr>
        <w:t xml:space="preserve">Psychiatrist</w:t>
      </w:r>
      <w:r>
        <w:t xml:space="preserve">. This interview was designed to elicit detailed histories regarding past mental health treatments, family psychiatric history, substance use patterns, and current symptomatology.</w:t>
      </w:r>
    </w:p>
    <w:p>
      <w:pPr>
        <w:pStyle w:val="BodyText"/>
      </w:pPr>
      <w:r>
        <w:t xml:space="preserve">In the context of</w:t>
      </w:r>
      <w:r>
        <w:t xml:space="preserve"> </w:t>
      </w:r>
      <w:r>
        <w:rPr>
          <w:bCs/>
          <w:b/>
        </w:rPr>
        <w:t xml:space="preserve">United States Houston</w:t>
      </w:r>
      <w:r>
        <w:t xml:space="preserve">, the methodology includes specific inquiries into occupational stressors related to the energy sector (oil and gas), healthcare administration (Texas Medical Center proximity), or general service industry demands. These regional factors are critical because they often contribute to chronic stress levels that may exacerbate underlying psychiatric conditions. Furthermore, the lab report incorporates standardized psychological testing instruments, including the Mini-Mental State Examination (MMSE) for cognitive screening and the Beck Depression Inventory (BDI-II) for mood assessment.</w:t>
      </w:r>
    </w:p>
    <w:p>
      <w:pPr>
        <w:pStyle w:val="BodyText"/>
      </w:pPr>
      <w:r>
        <w:t xml:space="preserve">Additionally, biochemical laboratory tests were ordered to rule out organic causes of psychiatric symptoms. This includes a Complete Blood Count (CBC), Comprehensive Metabolic Panel (CMP), Thyroid Stimulating Hormone (TSH) levels, and Vitamin B12/D levels. These tests are essential to ensure that any diagnosed condition is not secondary to physiological imbalances, thereby allowing the</w:t>
      </w:r>
      <w:r>
        <w:t xml:space="preserve"> </w:t>
      </w:r>
      <w:r>
        <w:rPr>
          <w:bCs/>
          <w:b/>
        </w:rPr>
        <w:t xml:space="preserve">Psychiatrist</w:t>
      </w:r>
      <w:r>
        <w:t xml:space="preserve"> </w:t>
      </w:r>
      <w:r>
        <w:t xml:space="preserve">to prescribe medication with greater confidence and safety.</w:t>
      </w:r>
    </w:p>
    <w:bookmarkEnd w:id="22"/>
    <w:bookmarkStart w:id="23" w:name="Xe043433cfa521f5459d9d052de7266b0cebff05"/>
    <w:p>
      <w:pPr>
        <w:pStyle w:val="Heading2"/>
      </w:pPr>
      <w:r>
        <w:t xml:space="preserve">III. Diagnostic Findings and Laboratory Results</w:t>
      </w:r>
    </w:p>
    <w:p>
      <w:pPr>
        <w:pStyle w:val="FirstParagraph"/>
      </w:pPr>
      <w:r>
        <w:t xml:space="preserve">The clinical data gathered indicates a complex interplay between biological predispositions and environmental triggers. The patient presents with symptoms consistent with Generalized Anxiety Disorder (GAD) comorbid with mild Major Depressive Disorder. However, it is crucial to note that the presentation in</w:t>
      </w:r>
      <w:r>
        <w:t xml:space="preserve"> </w:t>
      </w:r>
      <w:r>
        <w:rPr>
          <w:bCs/>
          <w:b/>
        </w:rPr>
        <w:t xml:space="preserve">United States Houston</w:t>
      </w:r>
      <w:r>
        <w:t xml:space="preserve"> </w:t>
      </w:r>
      <w:r>
        <w:t xml:space="preserve">may differ slightly from national averages due to local cultural attitudes toward mental health stigma and help-seeking behaviors.</w:t>
      </w:r>
    </w:p>
    <w:p>
      <w:pPr>
        <w:pStyle w:val="BodyText"/>
      </w:pPr>
      <w:r>
        <w:rPr>
          <w:bCs/>
          <w:b/>
        </w:rPr>
        <w:t xml:space="preserve">Biochemical Findings:</w:t>
      </w:r>
    </w:p>
    <w:p>
      <w:pPr>
        <w:numPr>
          <w:ilvl w:val="0"/>
          <w:numId w:val="1001"/>
        </w:numPr>
        <w:pStyle w:val="Compact"/>
      </w:pPr>
      <w:r>
        <w:rPr>
          <w:bCs/>
          <w:b/>
        </w:rPr>
        <w:t xml:space="preserve">CBC:</w:t>
      </w:r>
      <w:r>
        <w:t xml:space="preserve">No signs of infection or anemia. White blood cell count is within normal limits, suggesting that acute physical illness is not a confounding factor for the patient's psychiatric presentation.</w:t>
      </w:r>
    </w:p>
    <w:p>
      <w:pPr>
        <w:numPr>
          <w:ilvl w:val="0"/>
          <w:numId w:val="1001"/>
        </w:numPr>
        <w:pStyle w:val="Compact"/>
      </w:pPr>
      <w:r>
        <w:rPr>
          <w:bCs/>
          <w:b/>
        </w:rPr>
        <w:t xml:space="preserve">CMP:</w:t>
      </w:r>
      <w:r>
        <w:t xml:space="preserve">Liver and kidney functions are normal. This is particularly important for medication metabolism in Houston, where alcohol consumption rates vary significantly across different demographic groups.</w:t>
      </w:r>
    </w:p>
    <w:p>
      <w:pPr>
        <w:numPr>
          <w:ilvl w:val="0"/>
          <w:numId w:val="1001"/>
        </w:numPr>
        <w:pStyle w:val="Compact"/>
      </w:pPr>
      <w:r>
        <w:rPr>
          <w:bCs/>
          <w:b/>
        </w:rPr>
        <w:t xml:space="preserve">Thyroid Panel:</w:t>
      </w:r>
      <w:r>
        <w:t xml:space="preserve">TSH levels are within the reference range, effectively ruling out hypothyroidism as a cause of depressive symptoms.</w:t>
      </w:r>
    </w:p>
    <w:p>
      <w:pPr>
        <w:pStyle w:val="FirstParagraph"/>
      </w:pPr>
      <w:r>
        <w:rPr>
          <w:bCs/>
          <w:b/>
        </w:rPr>
        <w:t xml:space="preserve">Cognitive and Psychological Findings:</w:t>
      </w:r>
    </w:p>
    <w:p>
      <w:pPr>
        <w:pStyle w:val="BodyText"/>
      </w:pPr>
      <w:r>
        <w:t xml:space="preserve">The patient scored within the average range on cognitive screening tools. However, scores on anxiety scales were elevated, correlating with self-reported difficulties in concentration and sleep maintenance. The</w:t>
      </w:r>
      <w:r>
        <w:t xml:space="preserve"> </w:t>
      </w:r>
      <w:r>
        <w:rPr>
          <w:bCs/>
          <w:b/>
        </w:rPr>
        <w:t xml:space="preserve">Psychiatrist</w:t>
      </w:r>
      <w:r>
        <w:t xml:space="preserve"> </w:t>
      </w:r>
      <w:r>
        <w:t xml:space="preserve">noted that these symptoms are exacerbated by environmental factors common to Houston, such as extreme weather events and traffic congestion in Harris County.</w:t>
      </w:r>
    </w:p>
    <w:bookmarkEnd w:id="23"/>
    <w:bookmarkStart w:id="24" w:name="iv.-pharmacogenomic-considerations"/>
    <w:p>
      <w:pPr>
        <w:pStyle w:val="Heading2"/>
      </w:pPr>
      <w:r>
        <w:t xml:space="preserve">IV. Pharmacogenomic Considerations</w:t>
      </w:r>
    </w:p>
    <w:p>
      <w:pPr>
        <w:pStyle w:val="FirstParagraph"/>
      </w:pPr>
      <w:r>
        <w:t xml:space="preserve">A key component of this lab report is the consideration of pharmacogenomics. Given the genetic diversity inherent to</w:t>
      </w:r>
      <w:r>
        <w:t xml:space="preserve"> </w:t>
      </w:r>
      <w:r>
        <w:rPr>
          <w:bCs/>
          <w:b/>
        </w:rPr>
        <w:t xml:space="preserve">United States Houston</w:t>
      </w:r>
      <w:r>
        <w:t xml:space="preserve">, which includes significant Hispanic, African American, Asian American, and Caucasian populations, metabolic responses to psychotropic medications can vary widely. Therefore, a preliminary pharmacogenomic profile was analyzed to determine how the patient's liver enzymes (CYP450 system) may process selective serotonin reuptake inhibitors (SSRIs) or other first-line antidepressants.</w:t>
      </w:r>
    </w:p>
    <w:p>
      <w:pPr>
        <w:pStyle w:val="BodyText"/>
      </w:pPr>
      <w:r>
        <w:t xml:space="preserve">This step is vital for minimizing trial-and-error prescribing, which can be costly and distressing for patients. By identifying potential poor metabolizers or ultra-rapid metabolizers, the</w:t>
      </w:r>
      <w:r>
        <w:t xml:space="preserve"> </w:t>
      </w:r>
      <w:r>
        <w:rPr>
          <w:bCs/>
          <w:b/>
        </w:rPr>
        <w:t xml:space="preserve">Psychiatrist</w:t>
      </w:r>
      <w:r>
        <w:t xml:space="preserve"> </w:t>
      </w:r>
      <w:r>
        <w:t xml:space="preserve">can tailor the pharmacological intervention to ensure efficacy while reducing the risk of adverse drug reactions. This personalized approach aligns with modern precision medicine trends being adopted in major medical centers throughout Texas.</w:t>
      </w:r>
    </w:p>
    <w:bookmarkEnd w:id="24"/>
    <w:bookmarkStart w:id="25" w:name="X0c0e2cc1fc1faf346375e0b3d88742eb5bf35a7"/>
    <w:p>
      <w:pPr>
        <w:pStyle w:val="Heading2"/>
      </w:pPr>
      <w:r>
        <w:t xml:space="preserve">V. Treatment Recommendations and Regional Integration</w:t>
      </w:r>
    </w:p>
    <w:p>
      <w:pPr>
        <w:pStyle w:val="FirstParagraph"/>
      </w:pPr>
      <w:r>
        <w:t xml:space="preserve">Based on the findings detailed in this lab report, the following treatment plan is recommended:</w:t>
      </w:r>
    </w:p>
    <w:p>
      <w:pPr>
        <w:numPr>
          <w:ilvl w:val="0"/>
          <w:numId w:val="1002"/>
        </w:numPr>
        <w:pStyle w:val="Compact"/>
      </w:pPr>
      <w:r>
        <w:rPr>
          <w:bCs/>
          <w:b/>
        </w:rPr>
        <w:t xml:space="preserve">Pharmacotherapy:</w:t>
      </w:r>
    </w:p>
    <w:p>
      <w:pPr>
        <w:numPr>
          <w:ilvl w:val="0"/>
          <w:numId w:val="1002"/>
        </w:numPr>
        <w:pStyle w:val="Compact"/>
      </w:pPr>
      <w:r>
        <w:t xml:space="preserve">Lifestyle Modifications:</w:t>
      </w:r>
    </w:p>
    <w:p>
      <w:pPr>
        <w:pStyle w:val="FirstParagraph"/>
      </w:pPr>
      <w:r>
        <w:t xml:space="preserve">The treatment plan must remain flexible and responsive to the dynamic social environment of</w:t>
      </w:r>
      <w:r>
        <w:t xml:space="preserve"> </w:t>
      </w:r>
      <w:r>
        <w:rPr>
          <w:bCs/>
          <w:b/>
        </w:rPr>
        <w:t xml:space="preserve">United States Houston</w:t>
      </w:r>
      <w:r>
        <w:t xml:space="preserve">. Regular follow-up appointments are scheduled to assess progress and adjust the therapeutic approach as needed. Collaboration with primary care providers in the Texas Medical Center network is encouraged to ensure holistic patient care.</w:t>
      </w:r>
    </w:p>
    <w:bookmarkEnd w:id="25"/>
    <w:bookmarkStart w:id="26" w:name="vi.-conclusion"/>
    <w:p>
      <w:pPr>
        <w:pStyle w:val="Heading2"/>
      </w:pPr>
      <w:r>
        <w:t xml:space="preserve">VI. Conclusion</w:t>
      </w:r>
    </w:p>
    <w:p>
      <w:pPr>
        <w:pStyle w:val="FirstParagraph"/>
      </w:pPr>
      <w:r>
        <w:t xml:space="preserve">This lab report provides a robust foundation for the psychiatric management of Patient #TX-HST-9984-B. By integrating clinical data with an understanding of the unique socioeconomic and environmental landscape of</w:t>
      </w:r>
      <w:r>
        <w:t xml:space="preserve"> </w:t>
      </w:r>
      <w:r>
        <w:rPr>
          <w:bCs/>
          <w:b/>
        </w:rPr>
        <w:t xml:space="preserve">United States Houston</w:t>
      </w:r>
      <w:r>
        <w:t xml:space="preserve">, the attending</w:t>
      </w:r>
      <w:r>
        <w:t xml:space="preserve"> </w:t>
      </w:r>
      <w:r>
        <w:rPr>
          <w:bCs/>
          <w:b/>
        </w:rPr>
        <w:t xml:space="preserve">Psychiatrist</w:t>
      </w:r>
      <w:r>
        <w:t xml:space="preserve"> </w:t>
      </w:r>
      <w:r>
        <w:t xml:space="preserve">can deliver care that is both clinically sound and culturally attuned. The use of comprehensive laboratory testing, combined with rigorous diagnostic interviewing, ensures that any mental health interventions are grounded in objective evidence. Future evaluations will continue to monitor the efficacy of this plan, adapting to any changes in the patient’s condition or external stressors inherent to life in Houston.</w:t>
      </w:r>
    </w:p>
    <w:p>
      <w:pPr>
        <w:pStyle w:val="BodyText"/>
      </w:pPr>
      <w:r>
        <w:rPr>
          <w:bCs/>
          <w:b/>
        </w:rPr>
        <w:t xml:space="preserve">Disclaimer:</w:t>
      </w:r>
      <w:r>
        <w:t xml:space="preserve"> </w:t>
      </w:r>
      <w:r>
        <w:t xml:space="preserve">This document is for informational and clinical documentation purposes only. It does not constitute legal advice. All psychiatric evaluations must be conducted by licensed professionals adhering to the laws of the State of Texas and federal regulations applicable in the United States.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Psychiatrist Evaluation in United States Houston</dc:title>
  <dc:creator/>
  <dc:language>en</dc:language>
  <cp:keywords/>
  <dcterms:created xsi:type="dcterms:W3CDTF">2026-07-29T22:35:11Z</dcterms:created>
  <dcterms:modified xsi:type="dcterms:W3CDTF">2026-07-29T22:35:11Z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