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65c1da8cc0897f2b734e2dff751c086161ad4fe"/>
    <w:p>
      <w:pPr>
        <w:pStyle w:val="Heading1"/>
      </w:pPr>
      <w:r>
        <w:t xml:space="preserve">Clinical Lab Report &amp; Psychiatric Assessment Document</w:t>
      </w:r>
    </w:p>
    <w:p>
      <w:pPr>
        <w:pStyle w:val="FirstParagraph"/>
      </w:pPr>
      <w:r>
        <w:t xml:space="preserve">Facility:</w:t>
      </w:r>
      <w:r>
        <w:t xml:space="preserve"> </w:t>
      </w:r>
      <w:r>
        <w:t xml:space="preserve">Miami Neuro-Psychiatric Institute, United States Miami Division</w:t>
      </w:r>
    </w:p>
    <w:p>
      <w:pPr>
        <w:pStyle w:val="BodyText"/>
      </w:pPr>
      <w:r>
        <w:t xml:space="preserve">Date of Service:</w:t>
      </w:r>
      <w:r>
        <w:t xml:space="preserve"> </w:t>
      </w:r>
      <w:r>
        <w:t xml:space="preserve">October 24, 2023</w:t>
      </w:r>
    </w:p>
    <w:p>
      <w:pPr>
        <w:pStyle w:val="BodyText"/>
      </w:pPr>
      <w:r>
        <w:t xml:space="preserve">Patient ID:</w:t>
      </w:r>
      <w:r>
        <w:t xml:space="preserve"> </w:t>
      </w:r>
    </w:p>
    <w:p>
      <w:pPr>
        <w:pStyle w:val="BodyText"/>
      </w:pPr>
      <w:r>
        <w:t xml:space="preserve">Attending Psychiatrist:</w:t>
      </w:r>
      <w:r>
        <w:t xml:space="preserve"> </w:t>
      </w:r>
    </w:p>
    <w:p>
      <w:pPr>
        <w:pStyle w:val="BodyText"/>
      </w:pPr>
      <w:r>
        <w:t xml:space="preserve">Location Context:</w:t>
      </w:r>
      <w:r>
        <w:t xml:space="preserve"> </w:t>
      </w:r>
      <w:r>
        <w:t xml:space="preserve">United States Miami (Miami-Dade County Jurisdiction)</w:t>
      </w:r>
    </w:p>
    <w:bookmarkStart w:id="20" w:name="i.-executive-summary-and-introduction"/>
    <w:p>
      <w:pPr>
        <w:pStyle w:val="Heading2"/>
      </w:pPr>
      <w:r>
        <w:t xml:space="preserve">I. Executive Summary and Introduction</w:t>
      </w:r>
    </w:p>
    <w:p>
      <w:pPr>
        <w:pStyle w:val="FirstParagraph"/>
      </w:pPr>
      <w:r>
        <w:t xml:space="preserve">This document serves as a comprehensive Lab Report and clinical summary regarding the psychiatric evaluation conducted within the United States Miami healthcare framework. The primary objective of this report is to detail the diagnostic findings, therapeutic interventions, and longitudinal observations associated with a patient presenting with complex mood dysregulation. Given that this assessment takes place in United States Miami, specific attention has been paid to environmental stressors prevalent in South Florida urban centers, including high humidity-induced physiological changes and the unique socioeconomic pressures faced by residents in this major metropolitan hub of the Eastern Seaboard.</w:t>
      </w:r>
    </w:p>
    <w:p>
      <w:pPr>
        <w:pStyle w:val="BodyText"/>
      </w:pPr>
      <w:r>
        <w:t xml:space="preserve">The term "Psychiatrist" is utilized throughout this document to denote the specialized medical doctor responsible for diagnosing mental health conditions, prescribing psychotropic medications, and providing psychotherapy. This report adheres strictly to the diagnostic criteria established by the American Psychiatric Association (APA) and complies with all federal regulations governing patient privacy (HIPAA) applicable in the United States.</w:t>
      </w:r>
    </w:p>
    <w:bookmarkEnd w:id="20"/>
    <w:bookmarkStart w:id="21" w:name="X3588cf614c94e7f241133a232382bb4689a4a25"/>
    <w:p>
      <w:pPr>
        <w:pStyle w:val="Heading2"/>
      </w:pPr>
      <w:r>
        <w:t xml:space="preserve">II. Chief Complaint and History of Present Illness</w:t>
      </w:r>
    </w:p>
    <w:p>
      <w:pPr>
        <w:pStyle w:val="FirstParagraph"/>
      </w:pPr>
      <w:r>
        <w:t xml:space="preserve">The patient, a 34-year-old male residing in downtown United States Miami, presented to the psychiatric clinic with chief complaints of persistent anxiety, insomnia, and episodic depressive symptoms lasting approximately six months. The patient reports that symptoms escalated following a period of professional instability exacerbated by the post-pandemic economic shifts specific to the Miami tourism and hospitality industry.</w:t>
      </w:r>
    </w:p>
    <w:p>
      <w:pPr>
        <w:pStyle w:val="BodyText"/>
      </w:pPr>
      <w:r>
        <w:t xml:space="preserve">The lab report component of this evaluation includes standard physiological screenings to rule out organic causes for psychiatric symptoms. Blood tests revealed normal thyroid function (TSH levels within reference range), suggesting that hyperthyroidism is not a contributing factor to the anxiety presentation. Vitamin D levels were found to be mildly deficient, a common occurrence in indoor-working populations but relevant given the sunny climate of United States Miami, which may paradoxically suggest lack of outdoor exposure despite ample sunlight availability.</w:t>
      </w:r>
    </w:p>
    <w:bookmarkEnd w:id="21"/>
    <w:bookmarkStart w:id="24" w:name="Xd263248287f3df86e171a44660888ac78163452"/>
    <w:p>
      <w:pPr>
        <w:pStyle w:val="Heading2"/>
      </w:pPr>
      <w:r>
        <w:t xml:space="preserve">III. Psychiatric Evaluation and Diagnostic Assessment</w:t>
      </w:r>
    </w:p>
    <w:p>
      <w:pPr>
        <w:pStyle w:val="FirstParagraph"/>
      </w:pPr>
      <w:r>
        <w:t xml:space="preserve">The attending Psychiatrist conducted a thorough mental status examination (MSE). The patient was well-groomed, cooperative, and maintained appropriate eye contact. Speech was normal in rate and tone, though affect was noted to be mildly restricted congruent with the reported low mood.</w:t>
      </w:r>
    </w:p>
    <w:bookmarkStart w:id="22" w:name="a.-diagnostic-criteria-application"/>
    <w:p>
      <w:pPr>
        <w:pStyle w:val="Heading3"/>
      </w:pPr>
      <w:r>
        <w:t xml:space="preserve">A. Diagnostic Criteria Application</w:t>
      </w:r>
    </w:p>
    <w:p>
      <w:pPr>
        <w:pStyle w:val="FirstParagraph"/>
      </w:pPr>
      <w:r>
        <w:t xml:space="preserve">Utilizing the DSM-5 (Diagnostic and Statistical Manual of Mental Disorders), the Psychiatrist evaluated the patient against criteria for Major Depressive Disorder (MDD) and Generalized Anxiety Disorder (GAD). The patient meets five of nine criteria for MDD, including depressed mood, diminished interest in activities, insomnia, fatigue, feelings of worthlessness, diminished ability to think or concentrate, and recurrent thoughts of death. Consequently the primary diagnosis is assigned as Major Depressive Disorder Recurrent Moderate Severity.</w:t>
      </w:r>
    </w:p>
    <w:bookmarkEnd w:id="22"/>
    <w:bookmarkStart w:id="23" w:name="b.-risk-assessment"/>
    <w:p>
      <w:pPr>
        <w:pStyle w:val="Heading3"/>
      </w:pPr>
      <w:r>
        <w:t xml:space="preserve">B. Risk Assessment</w:t>
      </w:r>
    </w:p>
    <w:p>
      <w:pPr>
        <w:pStyle w:val="FirstParagraph"/>
      </w:pPr>
      <w:r>
        <w:t xml:space="preserve">Risk assessment protocols standard in United States Miami emergency psychiatry services were employed. The patient denied active suicidal ideation, intent, or plan. However passive ideation was noted when discussing future prospects. No homicidal ideology was present.</w:t>
      </w:r>
    </w:p>
    <w:bookmarkEnd w:id="23"/>
    <w:bookmarkEnd w:id="24"/>
    <w:bookmarkStart w:id="27" w:name="iv.-psychopharmacological-interventions"/>
    <w:p>
      <w:pPr>
        <w:pStyle w:val="Heading2"/>
      </w:pPr>
      <w:r>
        <w:t xml:space="preserve">IV. Psychopharmacological Interventions</w:t>
      </w:r>
    </w:p>
    <w:p>
      <w:pPr>
        <w:pStyle w:val="FirstParagraph"/>
      </w:pPr>
      <w:r>
        <w:t xml:space="preserve">In accordance with standard of care for a Psychiatrist treating MDD in the United States, a pharmacological regimen was initiated. The patient was prescribed Sertraline (Zoloft) at an initial dose of 50mg daily, to be titrated upward based on tolerance and therapeutic response.</w:t>
      </w:r>
    </w:p>
    <w:bookmarkStart w:id="25" w:name="a.-medication-lab-report-correlation"/>
    <w:p>
      <w:pPr>
        <w:pStyle w:val="Heading3"/>
      </w:pPr>
      <w:r>
        <w:t xml:space="preserve">A. Medication Lab Report Correlation</w:t>
      </w:r>
    </w:p>
    <w:p>
      <w:pPr>
        <w:pStyle w:val="FirstParagraph"/>
      </w:pPr>
      <w:r>
        <w:t xml:space="preserve">This lab report emphasizes the importance of baseline liver function tests (LFTs) before initiating SSRI therapy. The patient’s ALT and AST levels were within normal limits, confirming the safety profile for starting antidepressant medication. Furthermore, a lipid panel was conducted to establish a baseline metabolic health record, which is crucial given that certain psychotropic medications can impact weight and metabolic rates over time.</w:t>
      </w:r>
    </w:p>
    <w:bookmarkEnd w:id="25"/>
    <w:bookmarkStart w:id="26" w:name="b.-side-effect-monitoring"/>
    <w:p>
      <w:pPr>
        <w:pStyle w:val="Heading3"/>
      </w:pPr>
      <w:r>
        <w:t xml:space="preserve">B. Side Effect Monitoring</w:t>
      </w:r>
    </w:p>
    <w:p>
      <w:pPr>
        <w:pStyle w:val="FirstParagraph"/>
      </w:pPr>
      <w:r>
        <w:t xml:space="preserve">The patient was educated on potential side effects common with SSRIs, including gastrointestinal distress and sexual dysfunction. A follow-up lab report will be scheduled in four weeks to reassess symptom severity using the PHQ-9 (Patient Health Questionnaire-9) scale.</w:t>
      </w:r>
    </w:p>
    <w:bookmarkEnd w:id="26"/>
    <w:bookmarkEnd w:id="27"/>
    <w:bookmarkStart w:id="28" w:name="X21ee8fc0f8c5b6eb52d5b2d78f3adc6d01c131a"/>
    <w:p>
      <w:pPr>
        <w:pStyle w:val="Heading2"/>
      </w:pPr>
      <w:r>
        <w:t xml:space="preserve">V. Psychosocial and Environmental Factors in United States Miami</w:t>
      </w:r>
    </w:p>
    <w:p>
      <w:pPr>
        <w:pStyle w:val="FirstParagraph"/>
      </w:pPr>
      <w:r>
        <w:t xml:space="preserve">A critical component of this Lab Report is the contextual analysis of the patient's environment within United States Miami. The city’s rapid growth, high cost of living, and intense summer heat contribute to significant psychosocial stressors. The Psychiatrist noted that the patient’s social isolation was exacerbated by a lack of community integration programs in his specific neighborhood.</w:t>
      </w:r>
    </w:p>
    <w:p>
      <w:pPr>
        <w:pStyle w:val="BodyText"/>
      </w:pPr>
      <w:r>
        <w:t xml:space="preserve">Therapeutic recommendations included integrating local support groups available through Miami-Dade mental health outreach programs. Engagement with community-based resources is vital for long-term prognosis in this region. The humid climate, while aesthetically pleasing to tourists, can induce physiological fatigue and irritability in residents, potentially lowering the threshold for anxiety responses. The Psychiatrist recommended structured exercise routines during early morning hours to mitigate heat exposure while promoting endorphin release.</w:t>
      </w:r>
    </w:p>
    <w:bookmarkEnd w:id="28"/>
    <w:bookmarkStart w:id="29" w:name="vi.-treatment-plan-and-prognosis"/>
    <w:p>
      <w:pPr>
        <w:pStyle w:val="Heading2"/>
      </w:pPr>
      <w:r>
        <w:t xml:space="preserve">VI. Treatment Plan and Prognosis</w:t>
      </w:r>
    </w:p>
    <w:p>
      <w:pPr>
        <w:pStyle w:val="FirstParagraph"/>
      </w:pPr>
      <w:r>
        <w:t xml:space="preserve">The comprehensive treatment plan involves a multimodal approach combining pharmacotherapy, cognitive-behavioral therapy (CBT), and lifestyle modifications.</w:t>
      </w:r>
    </w:p>
    <w:p>
      <w:pPr>
        <w:numPr>
          <w:ilvl w:val="0"/>
          <w:numId w:val="1001"/>
        </w:numPr>
        <w:pStyle w:val="Compact"/>
      </w:pPr>
      <w:r>
        <w:rPr>
          <w:bCs/>
          <w:b/>
        </w:rPr>
        <w:t xml:space="preserve">Pharmacology:</w:t>
      </w:r>
      <w:r>
        <w:t xml:space="preserve"> </w:t>
      </w:r>
      <w:r>
        <w:t xml:space="preserve">Continue Sertraline 50mg daily. Re-evaluate in 4 weeks for potential dose adjustment.</w:t>
      </w:r>
    </w:p>
    <w:p>
      <w:pPr>
        <w:numPr>
          <w:ilvl w:val="0"/>
          <w:numId w:val="1001"/>
        </w:numPr>
        <w:pStyle w:val="Compact"/>
      </w:pPr>
      <w:r>
        <w:rPr>
          <w:bCs/>
          <w:b/>
        </w:rPr>
        <w:t xml:space="preserve">Psychotherapy:</w:t>
      </w:r>
    </w:p>
    <w:p>
      <w:pPr>
        <w:numPr>
          <w:ilvl w:val="0"/>
          <w:numId w:val="1001"/>
        </w:numPr>
        <w:pStyle w:val="Compact"/>
      </w:pPr>
      <w:r>
        <w:t xml:space="preserve">Lifestyle: Increase outdoor physical activity; monitor Vitamin D intake via supplementation if sun exposure remains limited due work schedule.</w:t>
      </w:r>
    </w:p>
    <w:p>
      <w:pPr>
        <w:pStyle w:val="FirstParagraph"/>
      </w:pPr>
      <w:r>
        <w:t xml:space="preserve">The prognosis is considered fair to good, contingent upon medication adherence and active participation in psychotherapy. Regular monitoring via follow-up lab reports will ensure that physiological parameters remain stable while addressing psychiatric symptoms.</w:t>
      </w:r>
    </w:p>
    <w:bookmarkEnd w:id="29"/>
    <w:bookmarkStart w:id="30" w:name="vii.-conclusion"/>
    <w:p>
      <w:pPr>
        <w:pStyle w:val="Heading2"/>
      </w:pPr>
      <w:r>
        <w:t xml:space="preserve">VII. Conclusion</w:t>
      </w:r>
    </w:p>
    <w:p>
      <w:pPr>
        <w:pStyle w:val="FirstParagraph"/>
      </w:pPr>
      <w:r>
        <w:t xml:space="preserve">This Lab Report underscores the complexity of diagnosing and treating mental health conditions within the specific context of United States Miami. The role of the Psychiatrist extends beyond mere prescription management; it requires a nuanced understanding of local environmental, social, and economic factors that influence patient well-being. By integrating rigorous clinical data with localized contextual awareness, this report aims to provide a robust framework for ongoing care.</w:t>
      </w:r>
    </w:p>
    <w:p>
      <w:pPr>
        <w:pStyle w:val="BodyText"/>
      </w:pPr>
      <w:r>
        <w:t xml:space="preserve">Future iterations of this Lab Report will track the efficacy of the prescribed interventions, ensuring that the Psychiatrist can adapt treatment strategies dynamically. The integration of biological markers (lab results) with psychological assessments remains the gold standard in modern psychiatric practice across the United States.</w:t>
      </w:r>
    </w:p>
    <w:bookmarkEnd w:id="30"/>
    <w:bookmarkStart w:id="31" w:name="viii.-signatures-and-authentication"/>
    <w:p>
      <w:pPr>
        <w:pStyle w:val="Heading2"/>
      </w:pPr>
      <w:r>
        <w:t xml:space="preserve">VIII. Signatures and Authentication</w:t>
      </w:r>
    </w:p>
    <w:p>
      <w:pPr>
        <w:pStyle w:val="FirstParagraph"/>
      </w:pPr>
      <w:r>
        <w:t xml:space="preserve">Prepared by:</w:t>
      </w:r>
    </w:p>
    <w:p>
      <w:pPr>
        <w:pStyle w:val="BodyText"/>
      </w:pPr>
      <w:r>
        <w:rPr>
          <w:bCs/>
          <w:b/>
        </w:rPr>
        <w:t xml:space="preserve">Elena Rodriguez, MD</w:t>
      </w:r>
    </w:p>
    <w:p>
      <w:pPr>
        <w:pStyle w:val="BodyText"/>
      </w:pPr>
      <w:r>
        <w:t xml:space="preserve">Miami Board of Medical Examiners License #ME-45990</w:t>
      </w:r>
    </w:p>
    <w:p>
      <w:pPr>
        <w:pStyle w:val="BodyText"/>
      </w:pPr>
      <w:r>
        <w:t xml:space="preserve">American Board of Psychiatry and Neurology Certified</w:t>
      </w:r>
    </w:p>
    <w:p>
      <w:pPr>
        <w:pStyle w:val="BodyText"/>
      </w:pPr>
      <w:r>
        <w:t xml:space="preserve">Date Signed:</w:t>
      </w:r>
      <w:r>
        <w:t xml:space="preserve"> </w:t>
      </w:r>
      <w:r>
        <w:t xml:space="preserve">October 24, 2023</w:t>
      </w:r>
      <w:r>
        <w:br/>
      </w:r>
      <w:r>
        <w:br/>
      </w:r>
      <w:r>
        <w:br/>
      </w:r>
      <w:r>
        <w:t xml:space="preserve">__________________________</w:t>
      </w:r>
      <w:r>
        <w:br/>
      </w:r>
      <w:r>
        <w:t xml:space="preserve">Dr. Elena Rodriguez, MD</w:t>
      </w:r>
      <w:r>
        <w:br/>
      </w:r>
      <w:r>
        <w:t xml:space="preserve">United States Miami Clinical Facility</w:t>
      </w:r>
    </w:p>
    <w:bookmarkEnd w:id="31"/>
    <w:p>
      <w:pPr>
        <w:pStyle w:val="BodyText"/>
      </w:pPr>
      <w:r>
        <w:t xml:space="preserve">:html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Evaluation in United States Miami</dc:title>
  <dc:creator/>
  <dc:language>en</dc:language>
  <cp:keywords/>
  <dcterms:created xsi:type="dcterms:W3CDTF">2026-07-29T17:03:19Z</dcterms:created>
  <dcterms:modified xsi:type="dcterms:W3CDTF">2026-07-29T17:03:19Z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