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Psychological</w:t>
      </w:r>
      <w:r>
        <w:t xml:space="preserve"> </w:t>
      </w:r>
      <w:r>
        <w:t xml:space="preserve">Assessment</w:t>
      </w:r>
      <w:r>
        <w:t xml:space="preserve"> </w:t>
      </w:r>
      <w:r>
        <w:t xml:space="preserve">and</w:t>
      </w:r>
      <w:r>
        <w:t xml:space="preserve"> </w:t>
      </w:r>
      <w:r>
        <w:t xml:space="preserve">Intervention</w:t>
      </w:r>
      <w:r>
        <w:t xml:space="preserve"> </w:t>
      </w:r>
      <w:r>
        <w:t xml:space="preserve">Framework</w:t>
      </w:r>
    </w:p>
    <w:bookmarkStart w:id="20" w:name="clinical-lab-report"/>
    <w:p>
      <w:pPr>
        <w:pStyle w:val="Heading1"/>
      </w:pPr>
      <w:r>
        <w:t xml:space="preserve">Clinical Lab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for Applied Clinical Psychology</w:t>
      </w:r>
    </w:p>
    <w:p>
      <w:pPr>
        <w:pStyle w:val="BodyText"/>
      </w:pPr>
      <w:r>
        <w:rPr>
          <w:bCs/>
          <w:b/>
        </w:rPr>
        <w:t xml:space="preserve">Jurisdictional Context:</w:t>
      </w:r>
      <w:r>
        <w:t xml:space="preserve"> </w:t>
      </w:r>
      <w:r>
        <w:t xml:space="preserve">Germany Frankfurt</w:t>
      </w:r>
    </w:p>
    <w:p>
      <w:pPr>
        <w:pStyle w:val="BodyText"/>
      </w:pPr>
      <w:r>
        <w:rPr>
          <w:bCs/>
          <w:b/>
        </w:rPr>
        <w:t xml:space="preserve">Type of Document:</w:t>
      </w:r>
      <w:r>
        <w:t xml:space="preserve">Preliminary Clinical Lab Report and Case Formulation</w:t>
      </w:r>
    </w:p>
    <w:bookmarkEnd w:id="20"/>
    <w:bookmarkStart w:id="21" w:name="executive-summary-and-introduction"/>
    <w:p>
      <w:pPr>
        <w:pStyle w:val="Heading2"/>
      </w:pPr>
      <w:r>
        <w:t xml:space="preserve">1. Executive Summary and Introduction</w:t>
      </w:r>
    </w:p>
    <w:p>
      <w:pPr>
        <w:pStyle w:val="FirstParagraph"/>
      </w:pPr>
      <w:r>
        <w:t xml:space="preserve">This document serves as a comprehensive laboratory report detailing the psychological assessment, diagnostic formulation, and recommended intervention strategies for a clinical case study. It is crucial to contextualize this analysis within the specific professional and regulatory environment of</w:t>
      </w:r>
      <w:r>
        <w:t xml:space="preserve"> </w:t>
      </w:r>
      <w:r>
        <w:rPr>
          <w:bCs/>
          <w:b/>
        </w:rPr>
        <w:t xml:space="preserve">Germany Frankfurt</w:t>
      </w:r>
      <w:r>
        <w:t xml:space="preserve">. The city of Frankfurt am Main acts as a major financial hub in Europe, creating a unique demographic profile characterized by high levels of occupational stress, cultural diversity, and rapid urbanization. Consequently, the role of the</w:t>
      </w:r>
      <w:r>
        <w:t xml:space="preserve"> </w:t>
      </w:r>
      <w:r>
        <w:rPr>
          <w:bCs/>
          <w:b/>
        </w:rPr>
        <w:t xml:space="preserve">Psychologist</w:t>
      </w:r>
      <w:r>
        <w:t xml:space="preserve"> </w:t>
      </w:r>
      <w:r>
        <w:t xml:space="preserve">in this region is not merely therapeutic but also involves navigating complex insurance systems (such as AOK or TK) and adhering to strict German medical psychology standards.</w:t>
      </w:r>
    </w:p>
    <w:p>
      <w:pPr>
        <w:pStyle w:val="BodyText"/>
      </w:pPr>
      <w:r>
        <w:t xml:space="preserve">The primary objective of this lab report is to demonstrate how clinical psychology principles are applied in practice, specifically addressing the challenges faced by individuals in the Frankfurt metropolitan area. By examining case data through empirical methods, we aim to validate therapeutic approaches that are both evidence-based and culturally sensitive to the local population.</w:t>
      </w:r>
    </w:p>
    <w:bookmarkEnd w:id="21"/>
    <w:bookmarkStart w:id="22" w:name="case-history-and-background"/>
    <w:p>
      <w:pPr>
        <w:pStyle w:val="Heading2"/>
      </w:pPr>
      <w:r>
        <w:t xml:space="preserve">2. Case History and Background</w:t>
      </w:r>
    </w:p>
    <w:p>
      <w:pPr>
        <w:pStyle w:val="FirstParagraph"/>
      </w:pPr>
      <w:r>
        <w:t xml:space="preserve">The subject of this study is a 34-year-old male residing in the Sachsenhausen district of Frankfurt. He works as a senior investment banker, a profession known for its high-pressure environment. The initial referral was made due to symptoms consistent with Generalized Anxiety Disorder (GAD) and mild depressive episodes, triggered by workplace restructuring.</w:t>
      </w:r>
    </w:p>
    <w:p>
      <w:pPr>
        <w:pStyle w:val="BodyText"/>
      </w:pPr>
      <w:r>
        <w:t xml:space="preserve">In the context of</w:t>
      </w:r>
      <w:r>
        <w:t xml:space="preserve"> </w:t>
      </w:r>
      <w:r>
        <w:rPr>
          <w:bCs/>
          <w:b/>
        </w:rPr>
        <w:t xml:space="preserve">Germany Frankfurt</w:t>
      </w:r>
      <w:r>
        <w:t xml:space="preserve">, the subject’s background reflects a common trend among expatriates and local professionals who face significant burnout risks. The interview process revealed a history of insomnia, irritability, and somatic complaints such as chronic tension headaches. It is important to note that in Germany, access to private psychological care often involves co-payments or direct billing structures different from the public health insurance model. Therefore, the efficiency and clarity of the diagnostic process are paramount for both patient satisfaction and administrative compliance.</w:t>
      </w:r>
    </w:p>
    <w:bookmarkEnd w:id="22"/>
    <w:bookmarkStart w:id="23" w:name="X6b13b9c42bd702da15e27e28e175c57192e0c60"/>
    <w:p>
      <w:pPr>
        <w:pStyle w:val="Heading2"/>
      </w:pPr>
      <w:r>
        <w:t xml:space="preserve">3. Methodology: Psychological Assessment Tools</w:t>
      </w:r>
    </w:p>
    <w:p>
      <w:pPr>
        <w:pStyle w:val="FirstParagraph"/>
      </w:pPr>
      <w:r>
        <w:t xml:space="preserve">To ensure scientific rigor, this Lab Report utilizes standardized assessment instruments validated for use in German-speaking populations. The following tools were employed during the initial consultation and follow-up sessions:</w:t>
      </w:r>
    </w:p>
    <w:p>
      <w:pPr>
        <w:numPr>
          <w:ilvl w:val="0"/>
          <w:numId w:val="1001"/>
        </w:numPr>
        <w:pStyle w:val="Compact"/>
      </w:pPr>
      <w:r>
        <w:rPr>
          <w:bCs/>
          <w:b/>
        </w:rPr>
        <w:t xml:space="preserve">Befragung bei psychischen Belastungen (BPL):</w:t>
      </w:r>
      <w:r>
        <w:t xml:space="preserve"> </w:t>
      </w:r>
      <w:r>
        <w:t xml:space="preserve">This is a standard questionnaire used in Germany to assess mental workload and stress factors. It provides a quantitative measure of how occupational demands impact the individual’s mental health, specifically tailored to German labor laws and workplace cultures.</w:t>
      </w:r>
    </w:p>
    <w:p>
      <w:pPr>
        <w:numPr>
          <w:ilvl w:val="0"/>
          <w:numId w:val="1001"/>
        </w:numPr>
        <w:pStyle w:val="Compact"/>
      </w:pPr>
      <w:r>
        <w:rPr>
          <w:bCs/>
          <w:b/>
        </w:rPr>
        <w:t xml:space="preserve">Zung Self-Rating Depression Scale (SDS):</w:t>
      </w:r>
      <w:r>
        <w:t xml:space="preserve"> </w:t>
      </w:r>
      <w:r>
        <w:t xml:space="preserve">A widely recognized tool for measuring depression severity. In this case, it helped differentiate between situational sadness and clinical depression.</w:t>
      </w:r>
    </w:p>
    <w:p>
      <w:pPr>
        <w:numPr>
          <w:ilvl w:val="0"/>
          <w:numId w:val="1001"/>
        </w:numPr>
        <w:pStyle w:val="Compact"/>
      </w:pPr>
      <w:r>
        <w:rPr>
          <w:bCs/>
          <w:b/>
        </w:rPr>
        <w:t xml:space="preserve">Anxiety Sensitivity Index (ASI-3):</w:t>
      </w:r>
      <w:r>
        <w:t xml:space="preserve"> </w:t>
      </w:r>
      <w:r>
        <w:t xml:space="preserve">Used to evaluate the fear of anxiety-related sensations, which was prominent in the subject’s presentation.</w:t>
      </w:r>
    </w:p>
    <w:p>
      <w:pPr>
        <w:numPr>
          <w:ilvl w:val="0"/>
          <w:numId w:val="1001"/>
        </w:numPr>
        <w:pStyle w:val="Compact"/>
      </w:pPr>
      <w:r>
        <w:rPr>
          <w:bCs/>
          <w:b/>
        </w:rPr>
        <w:t xml:space="preserve">Clinical Interview (Structuring according to DSM-5 and ICD-11):</w:t>
      </w:r>
      <w:r>
        <w:t xml:space="preserve"> </w:t>
      </w:r>
      <w:r>
        <w:t xml:space="preserve">As a licensed Psychologist operating under international standards but respecting local practices, a semi-structured interview was conducted. This allowed for a qualitative understanding of the patient’s narrative, particularly regarding his adaptation to life in Frankfurt.</w:t>
      </w:r>
    </w:p>
    <w:bookmarkEnd w:id="23"/>
    <w:bookmarkStart w:id="24" w:name="results-and-clinical-analysis"/>
    <w:p>
      <w:pPr>
        <w:pStyle w:val="Heading2"/>
      </w:pPr>
      <w:r>
        <w:t xml:space="preserve">4. Results and Clinical Analysis</w:t>
      </w:r>
    </w:p>
    <w:p>
      <w:pPr>
        <w:pStyle w:val="FirstParagraph"/>
      </w:pPr>
      <w:r>
        <w:t xml:space="preserve">The data collected from the assessment tools indicates a significant elevation in anxiety scores, specifically relating to performance evaluation and job security. The BPL results highlighted "emotional demands" and "work pace" as primary stressors. This aligns with the broader socioeconomic context of Frankfurt, where competitive pressure is pervasive.</w:t>
      </w:r>
    </w:p>
    <w:p>
      <w:pPr>
        <w:pStyle w:val="BodyText"/>
      </w:pPr>
      <w:r>
        <w:t xml:space="preserve">The Psychologist’s analysis reveals that the subject’s cognitive distortions center around catastrophic thinking regarding professional failure. Furthermore, social isolation was noted; despite living in a dense urban environment, the subject reported a lack of supportive community ties. This paradoxical isolation is common in transient professional hubs like Frankfurt, where many residents are either temporary expats or deeply embedded in corporate silos.</w:t>
      </w:r>
    </w:p>
    <w:p>
      <w:pPr>
        <w:pStyle w:val="BodyText"/>
      </w:pPr>
      <w:r>
        <w:t xml:space="preserve">Somatic symptoms correlated strongly with anxiety levels during high-stakes work periods. The physiological markers observed during the lab-style observation session (including heart rate variability monitoring) confirmed an overactive sympathetic nervous system response to perceived threats, even when those threats were abstract or future-oriented.</w:t>
      </w:r>
    </w:p>
    <w:bookmarkEnd w:id="24"/>
    <w:bookmarkStart w:id="25" w:name="diagnostic-formulation"/>
    <w:p>
      <w:pPr>
        <w:pStyle w:val="Heading2"/>
      </w:pPr>
      <w:r>
        <w:t xml:space="preserve">5. Diagnostic Formulation</w:t>
      </w:r>
    </w:p>
    <w:p>
      <w:pPr>
        <w:pStyle w:val="FirstParagraph"/>
      </w:pPr>
      <w:r>
        <w:t xml:space="preserve">Based on the convergence of self-report data and clinical observation, the working diagnosis is Generalized Anxiety Disorder (F41.1 according to ICD-10) with comorbid adjustment difficulties related to occupational stress. The diagnosis is formulated with careful consideration of cultural factors unique to</w:t>
      </w:r>
      <w:r>
        <w:t xml:space="preserve"> </w:t>
      </w:r>
      <w:r>
        <w:rPr>
          <w:bCs/>
          <w:b/>
        </w:rPr>
        <w:t xml:space="preserve">Germany Frankfurt</w:t>
      </w:r>
      <w:r>
        <w:t xml:space="preserve">. For instance, the stigma surrounding mental health in certain traditional German corporate sectors may have delayed help-seeking behavior until symptoms became debilitating.</w:t>
      </w:r>
    </w:p>
    <w:p>
      <w:pPr>
        <w:pStyle w:val="BodyText"/>
      </w:pPr>
      <w:r>
        <w:t xml:space="preserve">The role of the Psychologist here extends beyond labeling; it involves psychoeducation. The subject was educated on the normalization of stress responses within high-pressure environments, helping to reduce secondary anxiety about his own anxiety.</w:t>
      </w:r>
    </w:p>
    <w:bookmarkEnd w:id="25"/>
    <w:bookmarkStart w:id="26" w:name="intervention-plan-and-recommendations"/>
    <w:p>
      <w:pPr>
        <w:pStyle w:val="Heading2"/>
      </w:pPr>
      <w:r>
        <w:t xml:space="preserve">6. Intervention Plan and Recommendations</w:t>
      </w:r>
    </w:p>
    <w:p>
      <w:pPr>
        <w:pStyle w:val="FirstParagraph"/>
      </w:pPr>
      <w:r>
        <w:t xml:space="preserve">The recommended treatment plan focuses on Cognitive Behavioral Therapy (CBT), which is the gold standard for anxiety disorders in Europe. The specific components of the intervention include:</w:t>
      </w:r>
    </w:p>
    <w:p>
      <w:pPr>
        <w:numPr>
          <w:ilvl w:val="0"/>
          <w:numId w:val="1002"/>
        </w:numPr>
        <w:pStyle w:val="Compact"/>
      </w:pPr>
      <w:r>
        <w:rPr>
          <w:bCs/>
          <w:b/>
        </w:rPr>
        <w:t xml:space="preserve">Cognitive Restructuring:</w:t>
      </w:r>
      <w:r>
        <w:t xml:space="preserve"> </w:t>
      </w:r>
      <w:r>
        <w:t xml:space="preserve">Identifying and challenging irrational beliefs about professional perfectionism.</w:t>
      </w:r>
    </w:p>
    <w:p>
      <w:pPr>
        <w:numPr>
          <w:ilvl w:val="0"/>
          <w:numId w:val="1002"/>
        </w:numPr>
        <w:pStyle w:val="Compact"/>
      </w:pPr>
      <w:r>
        <w:rPr>
          <w:bCs/>
          <w:b/>
        </w:rPr>
        <w:t xml:space="preserve">Mindfulness-Based Stress Reduction (MBSR):</w:t>
      </w:r>
      <w:r>
        <w:t xml:space="preserve"> </w:t>
      </w:r>
      <w:r>
        <w:t xml:space="preserve">Incorporating local resources in Frankfurt, such as park-based mindfulness groups in the Main Tower area, to encourage grounding techniques outside the clinical setting.</w:t>
      </w:r>
    </w:p>
    <w:p>
      <w:pPr>
        <w:numPr>
          <w:ilvl w:val="0"/>
          <w:numId w:val="1002"/>
        </w:numPr>
        <w:pStyle w:val="Compact"/>
      </w:pPr>
      <w:r>
        <w:rPr>
          <w:bCs/>
          <w:b/>
        </w:rPr>
        <w:t xml:space="preserve">Biofeedback Training:</w:t>
      </w:r>
      <w:r>
        <w:t xml:space="preserve"> </w:t>
      </w:r>
      <w:r>
        <w:t xml:space="preserve">Utilizing laboratory equipment to teach physiological self-regulation. This is particularly effective for somatic symptoms like tension headaches.</w:t>
      </w:r>
    </w:p>
    <w:p>
      <w:pPr>
        <w:numPr>
          <w:ilvl w:val="0"/>
          <w:numId w:val="1002"/>
        </w:numPr>
        <w:pStyle w:val="Compact"/>
      </w:pPr>
      <w:r>
        <w:rPr>
          <w:bCs/>
          <w:b/>
        </w:rPr>
        <w:t xml:space="preserve">Lifestyle Modification:</w:t>
      </w:r>
      <w:r>
        <w:t xml:space="preserve"> </w:t>
      </w:r>
      <w:r>
        <w:t xml:space="preserve">Encouraging a balance between work and leisure, leveraging Frankfurt’s extensive cultural and recreational infrastructure (e.g., museums, river walks) as therapeutic adjuncts.</w:t>
      </w:r>
    </w:p>
    <w:bookmarkEnd w:id="26"/>
    <w:bookmarkStart w:id="27" w:name="X48315aba3f030d5a3186baee866ceee6c6b69bc"/>
    <w:p>
      <w:pPr>
        <w:pStyle w:val="Heading2"/>
      </w:pPr>
      <w:r>
        <w:t xml:space="preserve">7. Ethical Considerations and Professional Standards</w:t>
      </w:r>
    </w:p>
    <w:p>
      <w:pPr>
        <w:pStyle w:val="FirstParagraph"/>
      </w:pPr>
      <w:r>
        <w:t xml:space="preserve">In adhering to the guidelines of the Bundespsychologenkammer (German Federal Chamber of Psychologists), this Lab Report maintains strict confidentiality. The handling of patient data complies with both the GDPR (DSGVO) and local German medical privacy laws. The Psychologist ensures that all interventions are within their scope of practice, referring to psychiatrists for pharmacological evaluation if necessary, although no medication was prescribed in this initial phase.</w:t>
      </w:r>
    </w:p>
    <w:p>
      <w:pPr>
        <w:pStyle w:val="BodyText"/>
      </w:pPr>
      <w:r>
        <w:t xml:space="preserve">Transparency is key. The patient was fully informed about the diagnostic process, the nature of the Lab Report documentation, and his rights as a patient. This collaborative approach fosters trust, which is essential for therapeutic success in the competitive healthcare landscape of Frankfurt.</w:t>
      </w:r>
    </w:p>
    <w:bookmarkEnd w:id="27"/>
    <w:bookmarkStart w:id="28" w:name="conclusion"/>
    <w:p>
      <w:pPr>
        <w:pStyle w:val="Heading2"/>
      </w:pPr>
      <w:r>
        <w:t xml:space="preserve">8. Conclusion</w:t>
      </w:r>
    </w:p>
    <w:p>
      <w:pPr>
        <w:pStyle w:val="FirstParagraph"/>
      </w:pPr>
      <w:r>
        <w:t xml:space="preserve">This Lab Report illustrates the critical intersection between clinical psychology and the specific environmental factors present in Frankfurt, Germany. The case demonstrates that effective psychological care requires more than just technical proficiency; it demands an understanding of the local socio-economic fabric. The Psychologist serves as a bridge between scientific evidence and individualized patient care, ensuring that interventions are not only clinically sound but also culturally relevant.</w:t>
      </w:r>
    </w:p>
    <w:p>
      <w:pPr>
        <w:pStyle w:val="BodyText"/>
      </w:pPr>
      <w:r>
        <w:t xml:space="preserve">Future sessions will focus on relapse prevention and enhancing social resilience. By addressing the root causes of stress within the Frankfurt professional context, this treatment aims to restore the subject’s quality of life. Continued monitoring through standardized lab-style assessments will ensure that progress is measurable and sustainable.</w:t>
      </w:r>
    </w:p>
    <w:p>
      <w:pPr>
        <w:pStyle w:val="BodyText"/>
      </w:pPr>
      <w:r>
        <w:rPr>
          <w:iCs/>
          <w:i/>
        </w:rPr>
        <w:t xml:space="preserve">Note: This document is a simulated Lab Report for educational and structural demonstration purposes. It outlines the professional standards expected of a Psychologist operating in Germany Frankfurt, emphasizing precision, cultural competence, and adherence to regional regulations.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Psychological Assessment and Intervention Framework</dc:title>
  <dc:creator/>
  <dc:language>en</dc:language>
  <cp:keywords/>
  <dcterms:created xsi:type="dcterms:W3CDTF">2026-07-29T16:58:20Z</dcterms:created>
  <dcterms:modified xsi:type="dcterms:W3CDTF">2026-07-29T16:58:20Z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