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Diagnostic</w:t>
      </w:r>
      <w:r>
        <w:t xml:space="preserve"> </w:t>
      </w:r>
      <w:r>
        <w:t xml:space="preserve">Assessment</w:t>
      </w:r>
      <w:r>
        <w:t xml:space="preserve"> </w:t>
      </w:r>
      <w:r>
        <w:t xml:space="preserve">and</w:t>
      </w:r>
      <w:r>
        <w:t xml:space="preserve"> </w:t>
      </w:r>
      <w:r>
        <w:t xml:space="preserve">Clinical</w:t>
      </w:r>
      <w:r>
        <w:t xml:space="preserve"> </w:t>
      </w:r>
      <w:r>
        <w:t xml:space="preserve">Analysis</w:t>
      </w:r>
      <w:r>
        <w:t xml:space="preserve"> </w:t>
      </w:r>
      <w:r>
        <w:t xml:space="preserve">Report</w:t>
      </w:r>
    </w:p>
    <w:p>
      <w:pPr>
        <w:pStyle w:val="FirstParagraph"/>
      </w:pPr>
      <w:r>
        <w:rPr>
          <w:bCs/>
          <w:b/>
        </w:rPr>
        <w:t xml:space="preserve">Patient Name:</w:t>
      </w:r>
      <w:r>
        <w:t xml:space="preserve"> </w:t>
      </w:r>
      <w:r>
        <w:t xml:space="preserve">John Doe</w:t>
      </w:r>
      <w:r>
        <w:br/>
      </w:r>
      <w:r>
        <w:rPr>
          <w:bCs/>
          <w:b/>
        </w:rPr>
        <w:t xml:space="preserve">Date of Birth:</w:t>
      </w:r>
      <w:r>
        <w:t xml:space="preserve"> </w:t>
      </w:r>
      <w:r>
        <w:t xml:space="preserve">1965-04-12</w:t>
      </w:r>
      <w:r>
        <w:br/>
      </w:r>
      <w:r>
        <w:rPr>
          <w:bCs/>
          <w:b/>
        </w:rPr>
        <w:t xml:space="preserve">Patient ID:</w:t>
      </w:r>
      <w:r>
        <w:t xml:space="preserve"> </w:t>
      </w:r>
      <w:r>
        <w:t xml:space="preserve">QHP-8842910-MTL</w:t>
      </w:r>
      <w:r>
        <w:br/>
      </w:r>
      <w:r>
        <w:rPr>
          <w:bCs/>
          <w:b/>
        </w:rPr>
        <w:t xml:space="preserve">Date of Exam:</w:t>
      </w:r>
      <w:r>
        <w:t xml:space="preserve"> </w:t>
      </w:r>
      <w:r>
        <w:t xml:space="preserve">October 24, 2023</w:t>
      </w:r>
    </w:p>
    <w:p>
      <w:pPr>
        <w:pStyle w:val="BodyText"/>
      </w:pPr>
      <w:r>
        <w:rPr>
          <w:bCs/>
          <w:b/>
        </w:rPr>
        <w:t xml:space="preserve">Institution:</w:t>
      </w:r>
      <w:r>
        <w:t xml:space="preserve"> </w:t>
      </w:r>
      <w:r>
        <w:t xml:space="preserve">McGill University Health Centre</w:t>
      </w:r>
      <w:r>
        <w:br/>
      </w:r>
      <w:r>
        <w:rPr>
          <w:bCs/>
          <w:b/>
        </w:rPr>
        <w:t xml:space="preserve">District:</w:t>
      </w:r>
      <w:r>
        <w:t xml:space="preserve"> </w:t>
      </w:r>
      <w:r>
        <w:t xml:space="preserve">Canada Montreal</w:t>
      </w:r>
      <w:r>
        <w:br/>
      </w:r>
      <w:r>
        <w:rPr>
          <w:bCs/>
          <w:b/>
        </w:rPr>
        <w:t xml:space="preserve">Treating Physician:</w:t>
      </w:r>
      <w:r>
        <w:t xml:space="preserve"> </w:t>
      </w:r>
      <w:r>
        <w:t xml:space="preserve">Dr. A. Smith, MD</w:t>
      </w:r>
      <w:r>
        <w:br/>
      </w:r>
      <w:r>
        <w:rPr>
          <w:bCs/>
          <w:b/>
        </w:rPr>
        <w:t xml:space="preserve">Radiologist on Duty:</w:t>
      </w:r>
      <w:r>
        <w:t xml:space="preserve">  Dr. J. Tremblay, MD, FRCR(C)</w:t>
      </w:r>
    </w:p>
    <w:bookmarkStart w:id="28" w:name="Xcf52b9082eab90d5bd75e8340e8cb52cb637188"/>
    <w:p>
      <w:pPr>
        <w:pStyle w:val="Heading1"/>
      </w:pPr>
      <w:r>
        <w:t xml:space="preserve">Clinical Lab Report: Advanced Radiological Diagnostic Assessment</w:t>
      </w:r>
    </w:p>
    <w:p>
      <w:pPr>
        <w:pStyle w:val="FirstParagraph"/>
      </w:pPr>
      <w:r>
        <w:rPr>
          <w:iCs/>
          <w:i/>
        </w:rPr>
        <w:t xml:space="preserve">This document serves as an official clinical lab report detailing the radiological findings and diagnostic analysis performed under the jurisdiction of Canada Montreal healthcare standards. The following report synthesizes imaging data, radiologist interpretation, and clinical recommendations in compliance with provincial regulatory guidelines.</w:t>
      </w:r>
    </w:p>
    <w:bookmarkStart w:id="20" w:name="introduction-and-clinical-context"/>
    <w:p>
      <w:pPr>
        <w:pStyle w:val="Heading2"/>
      </w:pPr>
      <w:r>
        <w:t xml:space="preserve">1. Introduction and Clinical Context</w:t>
      </w:r>
    </w:p>
    <w:p>
      <w:pPr>
        <w:pStyle w:val="FirstParagraph"/>
      </w:pPr>
      <w:r>
        <w:t xml:space="preserve">The primary objective of this laboratory report is to present a comprehensive analysis of medical imaging results obtained during the diagnostic workup for patient John Doe. As part of the healthcare infrastructure in Canada Montreal, it is imperative that all radiological procedures adhere to stringent safety protocols established by both provincial health authorities and federal standards. This report highlights the critical role played by the Radiologist in interpreting complex imaging modalities to aid in clinical decision-making.</w:t>
      </w:r>
    </w:p>
    <w:p>
      <w:pPr>
        <w:pStyle w:val="BodyText"/>
      </w:pPr>
      <w:r>
        <w:t xml:space="preserve">The patient presented with chronic thoracic pain and intermittent respiratory distress, necessitating a high-resolution diagnostic evaluation. The specific context of Canada Montreal implies a multicultural and technologically advanced medical environment where early detection and precise diagnosis are prioritized. Therefore, this Lab Report details the systematic approach taken by the Radiologist to ensure accuracy in identifying potential pathological conditions within the thoracic cavity.</w:t>
      </w:r>
    </w:p>
    <w:bookmarkEnd w:id="20"/>
    <w:bookmarkStart w:id="23" w:name="X290b0c8a33b1414ee101c6792d7d5223a1300a8"/>
    <w:p>
      <w:pPr>
        <w:pStyle w:val="Heading2"/>
      </w:pPr>
      <w:r>
        <w:t xml:space="preserve">2. Imaging Modalities and Technical Parameters</w:t>
      </w:r>
    </w:p>
    <w:bookmarkStart w:id="21" w:name="computed-tomography-ct-scan-protocol"/>
    <w:p>
      <w:pPr>
        <w:pStyle w:val="Heading3"/>
      </w:pPr>
      <w:r>
        <w:t xml:space="preserve">Computed Tomography (CT) Scan Protocol</w:t>
      </w:r>
    </w:p>
    <w:p>
      <w:pPr>
        <w:pStyle w:val="FirstParagraph"/>
      </w:pPr>
      <w:r>
        <w:t xml:space="preserve">A contrast-enhanced Computed Tomography (CT) scan of the chest was performed using a multi-detector row CT scanner. The technical parameters were optimized to minimize radiation exposure while maximizing tissue resolution, adhering to the ALARA (As Low As Reasonably Achievable) principles mandated in Canadian medical practice. The administration of intravenous iodinated contrast allowed for enhanced visualization of vascular structures and mediastinal lymph nodes.</w:t>
      </w:r>
    </w:p>
    <w:bookmarkEnd w:id="21"/>
    <w:bookmarkStart w:id="22" w:name="X978bae2cb6534d11378c195f16715a2e33e16a7"/>
    <w:p>
      <w:pPr>
        <w:pStyle w:val="Heading3"/>
      </w:pPr>
      <w:r>
        <w:t xml:space="preserve">Magnetic Resonance Imaging (MRI) Correlation</w:t>
      </w:r>
    </w:p>
    <w:p>
      <w:pPr>
        <w:pStyle w:val="FirstParagraph"/>
      </w:pPr>
      <w:r>
        <w:t xml:space="preserve">To further characterize soft tissue abnormalities, an MRI of the thoracic spine was conducted. This modality was selected due to its superior contrast resolution for neural structures and bone marrow pathology. The Radiologist coordinated with the radiology technologists to ensure that image acquisition aligned with specific clinical questions regarding potential spinal cord compression or paravertebral masses.</w:t>
      </w:r>
    </w:p>
    <w:bookmarkEnd w:id="22"/>
    <w:bookmarkEnd w:id="23"/>
    <w:bookmarkStart w:id="24" w:name="radiological-findings"/>
    <w:p>
      <w:pPr>
        <w:pStyle w:val="Heading2"/>
      </w:pPr>
      <w:r>
        <w:t xml:space="preserve">3. Radiological Findings</w:t>
      </w:r>
    </w:p>
    <w:p>
      <w:pPr>
        <w:pStyle w:val="FirstParagraph"/>
      </w:pPr>
      <w:r>
        <w:t xml:space="preserve">The analysis was conducted by a specialized Board-Certified Radiologist based in Canada Montreal. The following findings were observed during the systematic review of the DICOM images:</w:t>
      </w:r>
    </w:p>
    <w:p>
      <w:pPr>
        <w:numPr>
          <w:ilvl w:val="0"/>
          <w:numId w:val="1001"/>
        </w:numPr>
        <w:pStyle w:val="Compact"/>
      </w:pPr>
      <w:r>
        <w:rPr>
          <w:bCs/>
          <w:b/>
        </w:rPr>
        <w:t xml:space="preserve">Pulmonary Parenchyma:</w:t>
      </w:r>
      <w:r>
        <w:t xml:space="preserve"> </w:t>
      </w:r>
      <w:r>
        <w:t xml:space="preserve">There is a noted irregular opacity measuring approximately 3.2 cm x 2.8 cm in the right upper lobe (RUL). The lesion demonstrates spiculated margins, which raises concern for malignancy. No evidence of cavitation was observed within the mass.</w:t>
      </w:r>
    </w:p>
    <w:p>
      <w:pPr>
        <w:numPr>
          <w:ilvl w:val="0"/>
          <w:numId w:val="1001"/>
        </w:numPr>
        <w:pStyle w:val="Compact"/>
      </w:pPr>
      <w:r>
        <w:rPr>
          <w:bCs/>
          <w:b/>
        </w:rPr>
        <w:t xml:space="preserve">Lymphadenopathy:</w:t>
      </w:r>
      <w:r>
        <w:t xml:space="preserve"> </w:t>
      </w:r>
      <w:r>
        <w:t xml:space="preserve">Enlarged mediastinal lymph nodes are present, specifically at station 4R and station 7. The largest node measures 1.8 cm in short axis, suggestive of metastatic spread or reactive hyperplasia.</w:t>
      </w:r>
    </w:p>
    <w:p>
      <w:pPr>
        <w:numPr>
          <w:ilvl w:val="0"/>
          <w:numId w:val="1001"/>
        </w:numPr>
        <w:pStyle w:val="Compact"/>
      </w:pPr>
      <w:r>
        <w:rPr>
          <w:bCs/>
          <w:b/>
        </w:rPr>
        <w:t xml:space="preserve">Vascular Structures:</w:t>
      </w:r>
      <w:r>
        <w:t xml:space="preserve"> </w:t>
      </w:r>
      <w:r>
        <w:t xml:space="preserve">The pulmonary arteries appear patent with no evidence of pulmonary embolism. However, slight displacement of the superior vena cava is noted due to mass effect from the mediastinal lymphadenopathy.</w:t>
      </w:r>
    </w:p>
    <w:p>
      <w:pPr>
        <w:numPr>
          <w:ilvl w:val="0"/>
          <w:numId w:val="1001"/>
        </w:numPr>
        <w:pStyle w:val="Compact"/>
      </w:pPr>
      <w:r>
        <w:rPr>
          <w:bCs/>
          <w:b/>
        </w:rPr>
        <w:t xml:space="preserve">Bony Structures:</w:t>
      </w:r>
      <w:r>
        <w:t xml:space="preserve"> </w:t>
      </w:r>
      <w:r>
        <w:t xml:space="preserve">MRI findings reveal minor signal alteration in the T4 vertebral body, potentially indicating early osseous metastasis or inflammatory change. This requires correlation with bone scan data.</w:t>
      </w:r>
    </w:p>
    <w:bookmarkEnd w:id="24"/>
    <w:bookmarkStart w:id="25" w:name="X2676bec394c5a5d0f368cc64d99a167de8dcf45"/>
    <w:p>
      <w:pPr>
        <w:pStyle w:val="Heading2"/>
      </w:pPr>
      <w:r>
        <w:t xml:space="preserve">4. Radiologist’s Interpretation and Synthesis</w:t>
      </w:r>
    </w:p>
    <w:p>
      <w:pPr>
        <w:pStyle w:val="FirstParagraph"/>
      </w:pPr>
      <w:r>
        <w:t xml:space="preserve">The Radiologist has synthesized these findings to provide a differential diagnosis relevant to the patient's clinical presentation. In the context of healthcare in Canada Montreal, where access to multidisciplinary tumor boards is standard, this report serves as a foundational document for subsequent oncological evaluation.</w:t>
      </w:r>
    </w:p>
    <w:p>
      <w:pPr>
        <w:pStyle w:val="BodyText"/>
      </w:pPr>
      <w:r>
        <w:rPr>
          <w:bCs/>
          <w:b/>
        </w:rPr>
        <w:t xml:space="preserve">Impression:</w:t>
      </w:r>
    </w:p>
    <w:p>
      <w:pPr>
        <w:numPr>
          <w:ilvl w:val="0"/>
          <w:numId w:val="1002"/>
        </w:numPr>
        <w:pStyle w:val="Compact"/>
      </w:pPr>
      <w:r>
        <w:t xml:space="preserve">Suspicious solid mass in the right upper lobe of the lung, highly concerning for primary bronchogenic carcinoma. The spiculated nature and presence of associated lymphadenopathy elevate the risk profile significantly.</w:t>
      </w:r>
    </w:p>
    <w:p>
      <w:pPr>
        <w:numPr>
          <w:ilvl w:val="0"/>
          <w:numId w:val="1002"/>
        </w:numPr>
        <w:pStyle w:val="Compact"/>
      </w:pPr>
      <w:r>
        <w:t xml:space="preserve">Mediastinal lymphadenopathy (stations 4R and 7) is suspicious for nodal metastasis. This finding upstages the potential disease process, necessitating urgent staging procedures.</w:t>
      </w:r>
    </w:p>
    <w:p>
      <w:pPr>
        <w:numPr>
          <w:ilvl w:val="0"/>
          <w:numId w:val="1002"/>
        </w:numPr>
        <w:pStyle w:val="Compact"/>
      </w:pPr>
      <w:r>
        <w:t xml:space="preserve">Possible early osseous involvement at T4 vertebral body. While MRI suggests alteration, this must be confirmed with a whole-body bone scan to rule out systemic skeletal metastasis.</w:t>
      </w:r>
    </w:p>
    <w:p>
      <w:pPr>
        <w:pStyle w:val="FirstParagraph"/>
      </w:pPr>
      <w:r>
        <w:t xml:space="preserve">The Radiologist emphasizes that these imaging findings are diagnostic in nature but do not constitute a final pathological diagnosis. Histological confirmation via biopsy remains the gold standard for definitive classification. The detailed description provided herein is intended to guide the interventional pulmonology team in Montreal regarding optimal biopsy pathways, considering patient safety and anatomical accessibility.</w:t>
      </w:r>
    </w:p>
    <w:bookmarkEnd w:id="25"/>
    <w:bookmarkStart w:id="26" w:name="recommendations-and-clinical-pathway"/>
    <w:p>
      <w:pPr>
        <w:pStyle w:val="Heading2"/>
      </w:pPr>
      <w:r>
        <w:t xml:space="preserve">5. Recommendations and Clinical Pathway</w:t>
      </w:r>
    </w:p>
    <w:p>
      <w:pPr>
        <w:pStyle w:val="FirstParagraph"/>
      </w:pPr>
      <w:r>
        <w:t xml:space="preserve">In accordance with best practices within the Canada Montreal healthcare system, the following recommendations are made based on this Lab Report:</w:t>
      </w:r>
    </w:p>
    <w:p>
      <w:pPr>
        <w:numPr>
          <w:ilvl w:val="0"/>
          <w:numId w:val="1003"/>
        </w:numPr>
        <w:pStyle w:val="Compact"/>
      </w:pPr>
      <w:r>
        <w:rPr>
          <w:bCs/>
          <w:b/>
        </w:rPr>
        <w:t xml:space="preserve">Bronchoscopy with Biopsy:</w:t>
      </w:r>
      <w:r>
        <w:t xml:space="preserve"> </w:t>
      </w:r>
      <w:r>
        <w:t xml:space="preserve">Immediate scheduling of a bronchoscopic biopsy for tissue acquisition from the RUL mass. Navigational bronchoscopy may be required due to the peripheral location of the lesion.</w:t>
      </w:r>
    </w:p>
    <w:p>
      <w:pPr>
        <w:numPr>
          <w:ilvl w:val="0"/>
          <w:numId w:val="1003"/>
        </w:numPr>
        <w:pStyle w:val="Compact"/>
      </w:pPr>
      <w:r>
        <w:rPr>
          <w:bCs/>
          <w:b/>
        </w:rPr>
        <w:t xml:space="preserve">Ebus-TBNA (Endobronchial Ultrasound-Guided Transbronchial Needle Aspiration):</w:t>
      </w:r>
      <w:r>
        <w:t xml:space="preserve"> </w:t>
      </w:r>
      <w:r>
        <w:t xml:space="preserve">Utilization of EBUS to sample mediastinal lymph nodes for cytological analysis. This is critical for staging purposes and determining the extent of nodal involvement.</w:t>
      </w:r>
    </w:p>
    <w:p>
      <w:pPr>
        <w:numPr>
          <w:ilvl w:val="0"/>
          <w:numId w:val="1003"/>
        </w:numPr>
        <w:pStyle w:val="Compact"/>
      </w:pPr>
      <w:r>
        <w:rPr>
          <w:bCs/>
          <w:b/>
        </w:rPr>
        <w:t xml:space="preserve">Multidisciplinary Tumor Board Review:</w:t>
      </w:r>
      <w:r>
        <w:t xml:space="preserve"> </w:t>
      </w:r>
      <w:r>
        <w:t xml:space="preserve">Submission of all imaging data and this report to the regional oncology tumor board in Montreal. The Radiologist recommends a joint discussion with thoracic surgeons, medical oncologists, and pulmonologists to formulate a comprehensive treatment plan.</w:t>
      </w:r>
    </w:p>
    <w:p>
      <w:pPr>
        <w:numPr>
          <w:ilvl w:val="0"/>
          <w:numId w:val="1003"/>
        </w:numPr>
        <w:pStyle w:val="Compact"/>
      </w:pPr>
      <w:r>
        <w:rPr>
          <w:bCs/>
          <w:b/>
        </w:rPr>
        <w:t xml:space="preserve">Folate PET-CT Scan:</w:t>
      </w:r>
      <w:r>
        <w:t xml:space="preserve"> </w:t>
      </w:r>
      <w:r>
        <w:t xml:space="preserve">Although not performed in this initial series, a metabolic imaging study is recommended to assess for distant metastatic disease before invasive procedures are finalized.</w:t>
      </w:r>
    </w:p>
    <w:bookmarkEnd w:id="26"/>
    <w:bookmarkStart w:id="27" w:name="conclusion"/>
    <w:p>
      <w:pPr>
        <w:pStyle w:val="Heading2"/>
      </w:pPr>
      <w:r>
        <w:t xml:space="preserve">6. Conclusion</w:t>
      </w:r>
    </w:p>
    <w:p>
      <w:pPr>
        <w:pStyle w:val="FirstParagraph"/>
      </w:pPr>
      <w:r>
        <w:t xml:space="preserve">This Lab Report underscores the critical intersection between advanced imaging technology and expert radiological interpretation in the modern medical landscape of Canada Montreal. The findings presented herein are significant and require prompt clinical action. The Radiologist’s role extends beyond image analysis; it involves integrating clinical history, anatomical precision, and epidemiological context to provide a holistic view of patient health.</w:t>
      </w:r>
    </w:p>
    <w:p>
      <w:pPr>
        <w:pStyle w:val="BodyText"/>
      </w:pPr>
      <w:r>
        <w:t xml:space="preserve">As healthcare evolves in Quebec and across Canada, the integration of AI-assisted diagnostic tools with human radiologist expertise continues to improve accuracy. This report reflects such rigorous standards. It is the responsibility of all treating physicians involved in this case to ensure that the recommendations outlined by the Radiologist are implemented efficiently, thereby optimizing patient outcomes and ensuring adherence to ethical and legal standards governing medical diagnostics.</w:t>
      </w:r>
    </w:p>
    <w:p>
      <w:pPr>
        <w:pStyle w:val="BodyText"/>
      </w:pPr>
      <w:r>
        <w:rPr>
          <w:bCs/>
          <w:b/>
        </w:rPr>
        <w:t xml:space="preserve">Prepared By:</w:t>
      </w:r>
      <w:r>
        <w:br/>
      </w:r>
      <w:r>
        <w:t xml:space="preserve">John Doe, Patient Representative</w:t>
      </w:r>
      <w:r>
        <w:br/>
      </w:r>
      <w:r>
        <w:t xml:space="preserve">Date: October 25, 2023</w:t>
      </w:r>
    </w:p>
    <w:p>
      <w:pPr>
        <w:pStyle w:val="BodyText"/>
      </w:pPr>
      <w:r>
        <w:t xml:space="preserve">Dr. J. Tremblay, MD, FRCR(C)</w:t>
      </w:r>
    </w:p>
    <w:p>
      <w:pPr>
        <w:pStyle w:val="BodyText"/>
      </w:pPr>
      <w:r>
        <w:rPr>
          <w:bCs/>
          <w:b/>
        </w:rPr>
        <w:t xml:space="preserve">Signed Radiologist</w:t>
      </w:r>
      <w:r>
        <w:br/>
      </w:r>
      <w:r>
        <w:t xml:space="preserve">Department of Diagnostic Imaging</w:t>
      </w:r>
      <w:r>
        <w:br/>
      </w:r>
      <w:r>
        <w:t xml:space="preserve">Hospital Site: Canada Montreal</w:t>
      </w:r>
    </w:p>
    <w:p>
      <w:r>
        <w:pict>
          <v:rect style="width:0;height:1.5pt" o:hralign="center" o:hrstd="t" o:hr="t"/>
        </w:pict>
      </w:r>
    </w:p>
    <w:p>
      <w:pPr>
        <w:pStyle w:val="FirstParagraph"/>
      </w:pPr>
      <w:r>
        <w:t xml:space="preserve">Disclaimer: This Lab Report is a confidential medical document intended solely for the use of the individual or entity named above. Any unauthorized review, use, disclosure, or distribution is prohibited. The findings contained herein must be interpreted in conjunction with full clinical data and other diagnostic tests performed under the healthcare standards of Canada Montreal.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Diagnostic Assessment and Clinical Analysis Report</dc:title>
  <dc:creator/>
  <dc:language>en</dc:language>
  <cp:keywords/>
  <dcterms:created xsi:type="dcterms:W3CDTF">2026-07-29T07:55:24Z</dcterms:created>
  <dcterms:modified xsi:type="dcterms:W3CDTF">2026-07-29T07:55:24Z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