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Diagnostic</w:t>
      </w:r>
      <w:r>
        <w:t xml:space="preserve"> </w:t>
      </w:r>
      <w:r>
        <w:t xml:space="preserve">Imaging</w:t>
      </w:r>
      <w:r>
        <w:t xml:space="preserve"> </w:t>
      </w:r>
      <w:r>
        <w:t xml:space="preserve">Protocols</w:t>
      </w:r>
      <w:r>
        <w:t xml:space="preserve"> </w:t>
      </w:r>
      <w:r>
        <w:t xml:space="preserve">for</w:t>
      </w:r>
      <w:r>
        <w:t xml:space="preserve"> </w:t>
      </w:r>
      <w:r>
        <w:t xml:space="preserve">Radiologists</w:t>
      </w:r>
      <w:r>
        <w:t xml:space="preserve"> </w:t>
      </w:r>
      <w:r>
        <w:t xml:space="preserve">in</w:t>
      </w:r>
      <w:r>
        <w:t xml:space="preserve"> </w:t>
      </w:r>
      <w:r>
        <w:t xml:space="preserve">China,</w:t>
      </w:r>
      <w:r>
        <w:t xml:space="preserve"> </w:t>
      </w:r>
      <w:r>
        <w:t xml:space="preserve">Beijing</w:t>
      </w:r>
    </w:p>
    <w:bookmarkStart w:id="26" w:name="X54cfb84f5b54bea0b4fd0b16bf3a5802bb132ac"/>
    <w:p>
      <w:pPr>
        <w:pStyle w:val="Heading1"/>
      </w:pPr>
      <w:r>
        <w:t xml:space="preserve">Laboratory Report and Operational Guidelines for Radiologists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Diagnostic Imaging, Beijing Municipal Hospitals</w:t>
      </w:r>
      <w:r>
        <w:br/>
      </w:r>
      <w:r>
        <w:rPr>
          <w:bCs/>
          <w:b/>
        </w:rPr>
        <w:t xml:space="preserve">From:</w:t>
      </w:r>
      <w:r>
        <w:t xml:space="preserve"> </w:t>
      </w:r>
      <w:r>
        <w:t xml:space="preserve">Clinical Operations Division</w:t>
      </w:r>
      <w:r>
        <w:br/>
      </w:r>
      <w:r>
        <w:rPr>
          <w:bCs/>
          <w:b/>
        </w:rPr>
        <w:t xml:space="preserve">Subject:</w:t>
      </w:r>
      <w:r>
        <w:t xml:space="preserve"> </w:t>
      </w:r>
      <w:r>
        <w:t xml:space="preserve">Comprehensive Protocol for Radiologists Operating within the Healthcare Infrastructure of China, Beijing</w:t>
      </w:r>
    </w:p>
    <w:bookmarkStart w:id="20" w:name="i.-executive-summary-and-scope"/>
    <w:p>
      <w:pPr>
        <w:pStyle w:val="Heading2"/>
      </w:pPr>
      <w:r>
        <w:t xml:space="preserve">I. Executive Summary and Scope</w:t>
      </w:r>
    </w:p>
    <w:p>
      <w:pPr>
        <w:pStyle w:val="FirstParagraph"/>
      </w:pPr>
      <w:r>
        <w:t xml:space="preserve">This Lab Report serves as a critical operational document designed specifically for radiologists practicing in the dynamic healthcare environment of Beijing, China. As one of the most populous and technologically advanced cities in Asia, Beijing presents a unique confluence of high-volume patient traffic, cutting-edge medical technology adoption, and stringent regulatory compliance standards set by the National Health Commission (NHC). The purpose of this document is to outline best practices for radiologists regarding diagnostic accuracy, data management, cultural competency in patient care, and adherence to local legal frameworks. Given the rapid evolution of artificial intelligence (AI) integration in medical imaging across Chinese hospitals, this report emphasizes the symbiotic relationship between human expertise and computational diagnostics. The ultimate goal is to ensure that every Radiologist operating within the Beijing healthcare ecosystem delivers consistent, high-quality diagnostic services that meet international standards while respecting local regulations and patient demographics.</w:t>
      </w:r>
    </w:p>
    <w:bookmarkEnd w:id="20"/>
    <w:bookmarkStart w:id="21" w:name="Xd29160685f6935657c120ed16c8abefe253b4e8"/>
    <w:p>
      <w:pPr>
        <w:pStyle w:val="Heading2"/>
      </w:pPr>
      <w:r>
        <w:t xml:space="preserve">II. Regulatory Framework and Compliance in Beijing</w:t>
      </w:r>
    </w:p>
    <w:p>
      <w:pPr>
        <w:pStyle w:val="FirstParagraph"/>
      </w:pPr>
      <w:r>
        <w:t xml:space="preserve">For any Radiologist establishing practice or conducting research in China, particularly in a metropolitan hub like Beijing, understanding the regulatory landscape is paramount. The National Health Commission of China has implemented rigorous quality control measures for medical imaging departments to ensure patient safety and diagnostic reliability. In Beijing specifically, hospitals are subject to regular audits by both municipal and national health authorities. Radiologists must ensure that all imaging equipment—ranging from Magnetic Resonance Imaging (MRI) machines to Computed Tomography (CT) scanners—is certified according to Chinese national standards (GB standards).</w:t>
      </w:r>
      <w:r>
        <w:t xml:space="preserve"> </w:t>
      </w:r>
      <w:r>
        <w:t xml:space="preserve">Furthermore, the implementation of the "Healthy China 2030" initiative has placed a renewed emphasis on preventive healthcare and early diagnosis. This shifts the role of the Radiologist in Beijing from a purely reactive diagnostician to a proactive partner in patient management. Compliance with data privacy laws is equally critical. With the recent enforcement of China’s Personal Information Protection Law (PIPL), Radiologists handling patient data must ensure strict adherence to protocols regarding the storage, transmission, and anonymization of imaging datasets. Any breach in data security not only violates professional ethics but carries severe legal repercussions in Beijing’s highly regulated legal environment.</w:t>
      </w:r>
    </w:p>
    <w:bookmarkEnd w:id="21"/>
    <w:bookmarkStart w:id="22" w:name="Xd50a6f407da2032e5133bee3c9b25206b1dd0e2"/>
    <w:p>
      <w:pPr>
        <w:pStyle w:val="Heading2"/>
      </w:pPr>
      <w:r>
        <w:t xml:space="preserve">III. Technological Integration and AI Assistance</w:t>
      </w:r>
    </w:p>
    <w:p>
      <w:pPr>
        <w:pStyle w:val="FirstParagraph"/>
      </w:pPr>
      <w:r>
        <w:t xml:space="preserve">Beijing is at the forefront of integrating Artificial Intelligence into healthcare diagnostics across China. Many top-tier Grade-A tertiary hospitals in Beijing now utilize AI-assisted diagnostic software for tasks such as lung nodule detection, fracture identification, and breast cancer screening. For the modern Radiologist, proficiency in interpreting AI outputs is no longer optional but essential. This Lab Report recommends a workflow where AI tools are used as secondary readers to flag potential abnormalities, thereby reducing radiologist fatigue and minimizing oversight errors during high-volume shifts typical of Beijing’s hospitals.</w:t>
      </w:r>
      <w:r>
        <w:t xml:space="preserve"> </w:t>
      </w:r>
      <w:r>
        <w:t xml:space="preserve">However, it is imperative that the human eye remains the final arbiter of diagnosis. Radiologists must be trained to critically evaluate AI suggestions rather than accepting them uncritically. The integration should focus on efficiency and precision. For instance, in emergency departments common in Beijing’s urban centers, rapid triage of stroke patients using AI-derived CT perfusion maps can significantly reduce time-to-treatment. Radiologists must collaborate closely with IT specialists and medical physicists to maintain the calibration of these systems, ensuring that software updates do not compromise diagnostic accuracy or data integrity.</w:t>
      </w:r>
    </w:p>
    <w:bookmarkEnd w:id="22"/>
    <w:bookmarkStart w:id="23" w:name="X7250ca8c58075aafc4d22be6cc57960e5c9c7a9"/>
    <w:p>
      <w:pPr>
        <w:pStyle w:val="Heading2"/>
      </w:pPr>
      <w:r>
        <w:t xml:space="preserve">IV. Patient Demographics and Cultural Competency</w:t>
      </w:r>
    </w:p>
    <w:p>
      <w:pPr>
        <w:pStyle w:val="FirstParagraph"/>
      </w:pPr>
      <w:r>
        <w:t xml:space="preserve">The patient population in Beijing is diverse, encompassing local residents as well as a significant influx of medical tourists from other provinces and international visitors. Radiologists must possess high levels of cultural competency and communication skills. Language barriers can pose significant challenges in obtaining accurate clinical histories necessary for contextualizing imaging findings. Therefore, hospitals are encouraged to utilize digital translation tools or employ bilingual support staff specifically within the radiology departments.</w:t>
      </w:r>
      <w:r>
        <w:t xml:space="preserve"> </w:t>
      </w:r>
      <w:r>
        <w:t xml:space="preserve">Moreover, understanding the health trends specific to Northern China is crucial for a Radiologist in Beijing. There is a higher prevalence of respiratory conditions due to historical air quality issues, as well as lifestyle-related diseases such as hypertension and diabetes. This epidemiological context influences what pathologies are most frequently encountered and should be kept in mind during differential diagnoses. Sensitivity towards patient anxiety regarding radiation exposure is also vital; Radiologists must be skilled in explaining the necessity of certain imaging procedures to patients who may harbor misconceptions about safety, thereby fostering trust within the doctor-patient relationship.</w:t>
      </w:r>
    </w:p>
    <w:bookmarkEnd w:id="23"/>
    <w:bookmarkStart w:id="24" w:name="X1094c507d98b7a64f778aa803079d8947cd0c5f"/>
    <w:p>
      <w:pPr>
        <w:pStyle w:val="Heading2"/>
      </w:pPr>
      <w:r>
        <w:t xml:space="preserve">V. Radiation Safety and Occupational Health</w:t>
      </w:r>
    </w:p>
    <w:p>
      <w:pPr>
        <w:pStyle w:val="FirstParagraph"/>
      </w:pPr>
      <w:r>
        <w:t xml:space="preserve">Radiation protection is a cornerstone of this Lab Report’s guidelines. In Beijing’s busy hospital settings, Radiologists and technologists are exposed to occupational radiation risks if proper shielding is not maintained. Strict adherence to the ALARA (As Low As Reasonably Achievable) principle must be enforced. Personal dosimeters should be worn at all times when operating within controlled zones, and regular health monitoring for staff is mandatory under Chinese labor and safety laws.</w:t>
      </w:r>
      <w:r>
        <w:t xml:space="preserve"> </w:t>
      </w:r>
      <w:r>
        <w:t xml:space="preserve">Additionally, the design of radiology suites in Beijing hospitals must comply with current building codes regarding lead lining and barrier thicknesses. Radiologists have a professional duty to report any potential equipment malfunctions or shielding deficiencies immediately to the hospital administration. Regular drills on radiation emergency protocols should be conducted annually to ensure all staff are prepared for unexpected incidents, whether they involve equipment failure or accidental exposure events.</w:t>
      </w:r>
    </w:p>
    <w:bookmarkEnd w:id="24"/>
    <w:bookmarkStart w:id="25" w:name="vi.-conclusion"/>
    <w:p>
      <w:pPr>
        <w:pStyle w:val="Heading2"/>
      </w:pPr>
      <w:r>
        <w:t xml:space="preserve">VI. Conclusion</w:t>
      </w:r>
    </w:p>
    <w:p>
      <w:pPr>
        <w:pStyle w:val="FirstParagraph"/>
      </w:pPr>
      <w:r>
        <w:t xml:space="preserve">In conclusion, this Lab Report underscores the multifaceted role of a Radiologist in Beijing, China. It is not merely a position of interpreting images but one that requires strict regulatory compliance, technological adaptability to AI advancements, cultural sensitivity toward a diverse patient base, and unwavering commitment to safety standards. By adhering to the protocols outlined herein, Radiologists in Beijing can enhance diagnostic accuracy and patient outcomes while contributing to the broader goals of modernizing healthcare in China. Continuous professional development and active participation in multidisciplinary teams are essential for maintaining excellence in this high-pressure, high-stakes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Diagnostic Imaging Protocols for Radiologists in China, Beijing</dc:title>
  <dc:creator/>
  <cp:keywords/>
  <dcterms:created xsi:type="dcterms:W3CDTF">2026-07-29T06:52:04Z</dcterms:created>
  <dcterms:modified xsi:type="dcterms:W3CDTF">2026-07-29T06:52:04Z</dcterms:modified>
</cp:coreProperties>
</file>

<file path=docProps/custom.xml><?xml version="1.0" encoding="utf-8"?>
<Properties xmlns="http://schemas.openxmlformats.org/officeDocument/2006/custom-properties" xmlns:vt="http://schemas.openxmlformats.org/officeDocument/2006/docPropsVTypes"/>
</file>