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Radiological</w:t>
      </w:r>
      <w:r>
        <w:t xml:space="preserve"> </w:t>
      </w:r>
      <w:r>
        <w:t xml:space="preserve">Assessment</w:t>
      </w:r>
      <w:r>
        <w:t xml:space="preserve"> </w:t>
      </w:r>
      <w:r>
        <w:t xml:space="preserve">and</w:t>
      </w:r>
      <w:r>
        <w:t xml:space="preserve"> </w:t>
      </w:r>
      <w:r>
        <w:t xml:space="preserve">Diagnostic</w:t>
      </w:r>
      <w:r>
        <w:t xml:space="preserve"> </w:t>
      </w:r>
      <w:r>
        <w:t xml:space="preserve">Workflow</w:t>
      </w:r>
      <w:r>
        <w:t xml:space="preserve"> </w:t>
      </w:r>
      <w:r>
        <w:t xml:space="preserve">in</w:t>
      </w:r>
      <w:r>
        <w:t xml:space="preserve"> </w:t>
      </w:r>
      <w:r>
        <w:t xml:space="preserve">Iran,</w:t>
      </w:r>
      <w:r>
        <w:t xml:space="preserve"> </w:t>
      </w:r>
      <w:r>
        <w:t xml:space="preserve">Tehran</w:t>
      </w:r>
    </w:p>
    <w:bookmarkStart w:id="20" w:name="laboratory-and-diagnostic-imaging-report"/>
    <w:p>
      <w:pPr>
        <w:pStyle w:val="Heading1"/>
      </w:pPr>
      <w:r>
        <w:t xml:space="preserve">Laboratory and Diagnostic Imaging Report</w:t>
      </w:r>
    </w:p>
    <w:p>
      <w:pPr>
        <w:pStyle w:val="FirstParagraph"/>
      </w:pPr>
      <w:r>
        <w:rPr>
          <w:bCs/>
          <w:b/>
        </w:rPr>
        <w:t xml:space="preserve">Institution:</w:t>
      </w:r>
      <w:r>
        <w:t xml:space="preserve"> </w:t>
      </w:r>
      <w:r>
        <w:t xml:space="preserve">Tehran University of Medical Sciences Affiliate Center</w:t>
      </w:r>
      <w:r>
        <w:br/>
      </w:r>
      <w:r>
        <w:rPr>
          <w:bCs/>
          <w:b/>
        </w:rPr>
        <w:t xml:space="preserve">Date:</w:t>
      </w:r>
      <w:r>
        <w:t xml:space="preserve"> </w:t>
      </w:r>
      <w:r>
        <w:t xml:space="preserve">October 26, 2023</w:t>
      </w:r>
      <w:r>
        <w:br/>
      </w:r>
    </w:p>
    <w:p>
      <w:pPr>
        <w:pStyle w:val="BodyText"/>
      </w:pPr>
      <w:r>
        <w:t xml:space="preserve">Patient ID: IR-TEH-8940-XJ</w:t>
      </w:r>
      <w:r>
        <w:br/>
      </w:r>
      <w:r>
        <w:rPr>
          <w:bCs/>
          <w:b/>
        </w:rPr>
        <w:t xml:space="preserve">Name:</w:t>
      </w:r>
      <w:r>
        <w:t xml:space="preserve"> </w:t>
      </w:r>
      <w:r>
        <w:t xml:space="preserve">Aghajan Mohammadi (Pseudonym for confidentiality)</w:t>
      </w:r>
      <w:r>
        <w:br/>
      </w:r>
    </w:p>
    <w:p>
      <w:pPr>
        <w:pStyle w:val="BodyText"/>
      </w:pPr>
      <w:r>
        <w:t xml:space="preserve">Date of Birth: 14/05/1365 SH (June 4, 1986 CE)</w:t>
      </w:r>
      <w:r>
        <w:br/>
      </w:r>
      <w:r>
        <w:rPr>
          <w:bCs/>
          <w:b/>
        </w:rPr>
        <w:t xml:space="preserve">Gender:</w:t>
      </w:r>
      <w:r>
        <w:t xml:space="preserve"> </w:t>
      </w:r>
      <w:r>
        <w:t xml:space="preserve">Male</w:t>
      </w:r>
      <w:r>
        <w:br/>
      </w:r>
      <w:r>
        <w:rPr>
          <w:bCs/>
          <w:b/>
        </w:rPr>
        <w:t xml:space="preserve">Referring Physician:</w:t>
      </w:r>
      <w:r>
        <w:t xml:space="preserve"> </w:t>
      </w:r>
      <w:r>
        <w:t xml:space="preserve">Dr. S. Karimi, Department of Internal Medicine</w:t>
      </w:r>
    </w:p>
    <w:bookmarkEnd w:id="20"/>
    <w:bookmarkStart w:id="21" w:name="introduction-and-objectives"/>
    <w:p>
      <w:pPr>
        <w:pStyle w:val="Heading2"/>
      </w:pPr>
      <w:r>
        <w:t xml:space="preserve">1. Introduction and Objectives</w:t>
      </w:r>
    </w:p>
    <w:p>
      <w:pPr>
        <w:pStyle w:val="FirstParagraph"/>
      </w:pPr>
      <w:r>
        <w:t xml:space="preserve">The purpose of this lab report is to document the diagnostic imaging workflow, technical parameters, and clinical findings associated with a high-volume radiological case within the healthcare system of Iran, specifically in Tehran. As one of the most populous cities in the Middle East, Tehran presents unique challenges and opportunities for medical diagnostics. The integration of advanced radiology services with traditional laboratory data is critical for accurate diagnosis. This report highlights the role of the</w:t>
      </w:r>
      <w:r>
        <w:t xml:space="preserve"> </w:t>
      </w:r>
      <w:r>
        <w:rPr>
          <w:bCs/>
          <w:b/>
        </w:rPr>
        <w:t xml:space="preserve">Radiologist</w:t>
      </w:r>
      <w:r>
        <w:t xml:space="preserve"> </w:t>
      </w:r>
      <w:r>
        <w:t xml:space="preserve">in interpreting complex imaging modalities while adhering to international standards adapted to local infrastructures in</w:t>
      </w:r>
      <w:r>
        <w:t xml:space="preserve"> </w:t>
      </w:r>
      <w:r>
        <w:rPr>
          <w:bCs/>
          <w:b/>
        </w:rPr>
        <w:t xml:space="preserve">Iran, Tehran</w:t>
      </w:r>
      <w:r>
        <w:t xml:space="preserve">.</w:t>
      </w:r>
    </w:p>
    <w:p>
      <w:pPr>
        <w:pStyle w:val="BodyText"/>
      </w:pPr>
      <w:r>
        <w:t xml:space="preserve">The primary objective is to evaluate a suspected case of pulmonary pathology using Computed Tomography (CT) and correlate findings with standard hematological lab results. This dual approach ensures a comprehensive diagnostic picture, emphasizing the interdisciplinary nature of modern medicine in major Iranian metropolitan centers.</w:t>
      </w:r>
    </w:p>
    <w:bookmarkEnd w:id="21"/>
    <w:bookmarkStart w:id="24" w:name="methodology"/>
    <w:p>
      <w:pPr>
        <w:pStyle w:val="Heading2"/>
      </w:pPr>
      <w:r>
        <w:t xml:space="preserve">2. Methodology</w:t>
      </w:r>
    </w:p>
    <w:p>
      <w:pPr>
        <w:pStyle w:val="FirstParagraph"/>
      </w:pPr>
      <w:r>
        <w:t xml:space="preserve">All procedures were conducted at the Imaging Center in Tehran, utilizing state-of-the-art equipment available at leading medical institutions. The following modalities and laboratory tests were performed:</w:t>
      </w:r>
    </w:p>
    <w:p>
      <w:pPr>
        <w:numPr>
          <w:ilvl w:val="0"/>
          <w:numId w:val="1001"/>
        </w:numPr>
        <w:pStyle w:val="Compact"/>
      </w:pPr>
      <w:r>
        <w:rPr>
          <w:bCs/>
          <w:b/>
        </w:rPr>
        <w:t xml:space="preserve">Radiological Modality:</w:t>
      </w:r>
      <w:r>
        <w:t xml:space="preserve"> </w:t>
      </w:r>
      <w:r>
        <w:t xml:space="preserve">Multi-Detector Computed Tomography (MDCT) of the Chest with intravenous contrast.</w:t>
      </w:r>
    </w:p>
    <w:p>
      <w:pPr>
        <w:numPr>
          <w:ilvl w:val="0"/>
          <w:numId w:val="1001"/>
        </w:numPr>
        <w:pStyle w:val="Compact"/>
      </w:pPr>
      <w:r>
        <w:rPr>
          <w:bCs/>
          <w:b/>
        </w:rPr>
        <w:t xml:space="preserve">Laboratory Tests:</w:t>
      </w:r>
      <w:r>
        <w:t xml:space="preserve"> </w:t>
      </w:r>
      <w:r>
        <w:t xml:space="preserve">Complete Blood Count (CBC), C-Reactive Protein (CRP), and Procalcitonin levels to assess systemic inflammation and infection markers.</w:t>
      </w:r>
    </w:p>
    <w:p>
      <w:pPr>
        <w:numPr>
          <w:ilvl w:val="0"/>
          <w:numId w:val="1001"/>
        </w:numPr>
        <w:pStyle w:val="Compact"/>
      </w:pPr>
      <w:r>
        <w:rPr>
          <w:bCs/>
          <w:b/>
        </w:rPr>
        <w:t xml:space="preserve">Patient Preparation:</w:t>
      </w:r>
      <w:r>
        <w:t xml:space="preserve"> </w:t>
      </w:r>
      <w:r>
        <w:t xml:space="preserve">Fasting for four hours prior to contrast administration; verification of renal function via serum creatinine levels to prevent contrast-induced nephropathy, a standard protocol in</w:t>
      </w:r>
      <w:r>
        <w:t xml:space="preserve"> </w:t>
      </w:r>
      <w:r>
        <w:rPr>
          <w:bCs/>
          <w:b/>
        </w:rPr>
        <w:t xml:space="preserve">Iran, Tehran</w:t>
      </w:r>
      <w:r>
        <w:t xml:space="preserve"> </w:t>
      </w:r>
      <w:r>
        <w:t xml:space="preserve">healthcare facilities.</w:t>
      </w:r>
    </w:p>
    <w:bookmarkStart w:id="22" w:name="radiological-protocol-details"/>
    <w:p>
      <w:pPr>
        <w:pStyle w:val="Heading3"/>
      </w:pPr>
      <w:r>
        <w:t xml:space="preserve">Radiological Protocol Details</w:t>
      </w:r>
    </w:p>
    <w:p>
      <w:pPr>
        <w:pStyle w:val="FirstParagraph"/>
      </w:pPr>
      <w:r>
        <w:t xml:space="preserve">The CT scan was performed using a 64-slice scanner. The protocol included non-contrast and arterial phase imaging. Slice thickness was set to 1mm for high-resolution reconstruction, allowing the</w:t>
      </w:r>
      <w:r>
        <w:t xml:space="preserve"> </w:t>
      </w:r>
      <w:r>
        <w:rPr>
          <w:bCs/>
          <w:b/>
        </w:rPr>
        <w:t xml:space="preserve">Radiologist</w:t>
      </w:r>
      <w:r>
        <w:t xml:space="preserve"> </w:t>
      </w:r>
      <w:r>
        <w:t xml:space="preserve">to detect minute pathological changes. Image acquisition parameters were optimized for adult male physiology.</w:t>
      </w:r>
    </w:p>
    <w:bookmarkEnd w:id="22"/>
    <w:bookmarkStart w:id="23" w:name="laboratory-analysis"/>
    <w:p>
      <w:pPr>
        <w:pStyle w:val="Heading3"/>
      </w:pPr>
      <w:r>
        <w:t xml:space="preserve">Laboratory Analysis</w:t>
      </w:r>
    </w:p>
    <w:p>
      <w:pPr>
        <w:pStyle w:val="FirstParagraph"/>
      </w:pPr>
      <w:r>
        <w:t xml:space="preserve">Blood samples were collected in EDTA tubes for CBC and plasma separator tubes for biochemical analysis. Samples were processed within two hours of collection at the central laboratory in Tehran to ensure stability of biomarkers. The automated analyzers used are calibrated according to ISO 15189 standards, ensuring reliability comparable to Western laboratories.</w:t>
      </w:r>
    </w:p>
    <w:bookmarkEnd w:id="23"/>
    <w:bookmarkEnd w:id="24"/>
    <w:bookmarkStart w:id="26" w:name="clinical-findings"/>
    <w:p>
      <w:pPr>
        <w:pStyle w:val="Heading2"/>
      </w:pPr>
      <w:r>
        <w:t xml:space="preserve">3. Clinical Findings</w:t>
      </w:r>
    </w:p>
    <w:bookmarkStart w:id="25" w:name="a.-laboratory-results"/>
    <w:p>
      <w:pPr>
        <w:pStyle w:val="Heading3"/>
      </w:pPr>
      <w:r>
        <w:t xml:space="preserve">A. Laboratory Results</w:t>
      </w:r>
    </w:p>
    <w:p>
      <w:pPr>
        <w:pStyle w:val="FirstParagraph"/>
      </w:pPr>
      <w:r>
        <w:t xml:space="preserve">Metric</w:t>
      </w:r>
    </w:p>
    <w:bookmarkEnd w:id="25"/>
    <w:bookmarkEnd w:id="26"/>
    <w:p>
      <w:pPr>
        <w:pStyle w:val="BodyText"/>
      </w:pPr>
      <w:r>
        <w:t xml:space="preserve">Patient Value</w:t>
      </w:r>
    </w:p>
    <w:p>
      <w:pPr>
        <w:pStyle w:val="BodyText"/>
      </w:pPr>
      <w:r>
        <w:t xml:space="preserve">Reference Range (Iran/WHO Standard)</w:t>
      </w:r>
    </w:p>
    <w:p>
      <w:pPr>
        <w:pStyle w:val="BodyText"/>
      </w:pPr>
      <w:r>
        <w:t xml:space="preserve">WBC Count (x10^9/L)</w:t>
      </w:r>
    </w:p>
    <w:p>
      <w:pPr>
        <w:pStyle w:val="BodyText"/>
      </w:pPr>
      <w:r>
        <w:t xml:space="preserve">14.5</w:t>
      </w:r>
    </w:p>
    <w:p>
      <w:pPr>
        <w:pStyle w:val="BodyText"/>
      </w:pPr>
      <w:r>
        <w:t xml:space="preserve">4.5 - 11.0</w:t>
      </w:r>
    </w:p>
    <w:p>
      <w:pPr>
        <w:pStyle w:val="BodyText"/>
      </w:pPr>
      <w:r>
        <w:t xml:space="preserve">Neutrophils (%)</w:t>
      </w:r>
    </w:p>
    <w:p>
      <w:pPr>
        <w:pStyle w:val="BodyText"/>
      </w:pPr>
      <w:r>
        <w:t xml:space="preserve">82%</w:t>
      </w:r>
    </w:p>
    <w:p>
      <w:pPr>
        <w:pStyle w:val="BodyText"/>
      </w:pPr>
      <w:r>
        <w:t xml:space="preserve">40-75%</w:t>
      </w:r>
    </w:p>
    <w:p>
      <w:pPr>
        <w:pStyle w:val="BodyText"/>
      </w:pPr>
      <w:r>
        <w:t xml:space="preserve">CRP (mg/L)</w:t>
      </w:r>
    </w:p>
    <w:p>
      <w:pPr>
        <w:pStyle w:val="BodyText"/>
      </w:pPr>
      <w:r>
        <w:t xml:space="preserve">95.4</w:t>
      </w:r>
    </w:p>
    <w:p>
      <w:pPr>
        <w:pStyle w:val="BodyText"/>
      </w:pPr>
      <w:r>
        <w:t xml:space="preserve">0-10</w:t>
      </w:r>
    </w:p>
    <w:p>
      <w:pPr>
        <w:pStyle w:val="BodyText"/>
      </w:pPr>
      <w:r>
        <w:t xml:space="preserve">Procalcitonin (ng/mL)</w:t>
      </w:r>
    </w:p>
    <w:p>
      <w:pPr>
        <w:pStyle w:val="BodyText"/>
      </w:pPr>
      <w:r>
        <w:t xml:space="preserve">1.8</w:t>
      </w:r>
    </w:p>
    <w:p>
      <w:pPr>
        <w:pStyle w:val="BodyText"/>
      </w:pPr>
      <w:r>
        <w:t xml:space="preserve">&lt; 0.1</w:t>
      </w:r>
    </w:p>
    <w:p>
      <w:pPr>
        <w:pStyle w:val="BodyText"/>
      </w:pPr>
      <w:r>
        <w:t xml:space="preserve">The laboratory results indicate a significant leukocytosis with neutrophilia, accompanied by markedly elevated inflammatory markers (CRP and Procalcitonin). This profile strongly suggests an acute bacterial infection or severe systemic inflammatory response.</w:t>
      </w:r>
    </w:p>
    <w:bookmarkStart w:id="27" w:name="b.-radiological-interpretation"/>
    <w:p>
      <w:pPr>
        <w:pStyle w:val="Heading3"/>
      </w:pPr>
      <w:r>
        <w:t xml:space="preserve">B. Radiological Interpretation</w:t>
      </w:r>
    </w:p>
    <w:p>
      <w:pPr>
        <w:pStyle w:val="FirstParagraph"/>
      </w:pPr>
      <w:r>
        <w:t xml:space="preserve">The</w:t>
      </w:r>
      <w:r>
        <w:t xml:space="preserve"> </w:t>
      </w:r>
      <w:r>
        <w:rPr>
          <w:bCs/>
          <w:b/>
        </w:rPr>
        <w:t xml:space="preserve">Radiologist</w:t>
      </w:r>
      <w:r>
        <w:t xml:space="preserve"> </w:t>
      </w:r>
      <w:r>
        <w:t xml:space="preserve">reviewed the CT images in axial, coronal, and sagittal planes. Key findings include:</w:t>
      </w:r>
    </w:p>
    <w:p>
      <w:pPr>
        <w:numPr>
          <w:ilvl w:val="0"/>
          <w:numId w:val="1002"/>
        </w:numPr>
        <w:pStyle w:val="Compact"/>
      </w:pPr>
      <w:r>
        <w:rPr>
          <w:bCs/>
          <w:b/>
        </w:rPr>
        <w:t xml:space="preserve">Lung Parenchyma:</w:t>
      </w:r>
      <w:r>
        <w:t xml:space="preserve"> </w:t>
      </w:r>
      <w:r>
        <w:t xml:space="preserve">Bilateral patchy consolidations are observed predominantly in the lower lobes. Ground-glass opacities are present surrounding these consolidations, more prominent on the right side.</w:t>
      </w:r>
    </w:p>
    <w:p>
      <w:pPr>
        <w:numPr>
          <w:ilvl w:val="0"/>
          <w:numId w:val="1002"/>
        </w:numPr>
        <w:pStyle w:val="Compact"/>
      </w:pPr>
      <w:r>
        <w:t xml:space="preserve">Pleura: Small bilateral pleural effusions are noted, with greater volume on the right hemithorax.</w:t>
      </w:r>
    </w:p>
    <w:p>
      <w:pPr>
        <w:numPr>
          <w:ilvl w:val="0"/>
          <w:numId w:val="1002"/>
        </w:numPr>
        <w:pStyle w:val="Compact"/>
      </w:pPr>
      <w:r>
        <w:rPr>
          <w:bCs/>
          <w:b/>
        </w:rPr>
        <w:t xml:space="preserve">Vascular Structures:</w:t>
      </w:r>
      <w:r>
        <w:t xml:space="preserve"> </w:t>
      </w:r>
      <w:r>
        <w:t xml:space="preserve">No evidence of pulmonary embolism was detected. The aorta and cardiac chambers appear within normal limits for size and function.</w:t>
      </w:r>
    </w:p>
    <w:p>
      <w:pPr>
        <w:numPr>
          <w:ilvl w:val="0"/>
          <w:numId w:val="1002"/>
        </w:numPr>
        <w:pStyle w:val="Compact"/>
      </w:pPr>
      <w:r>
        <w:t xml:space="preserve">Lymph Nodes:Mild reactive mediastinal lymphadenopathy is present, consistent with an infectious or inflammatory etiology.</w:t>
      </w:r>
    </w:p>
    <w:p>
      <w:pPr>
        <w:pStyle w:val="FirstParagraph"/>
      </w:pPr>
      <w:r>
        <w:t xml:space="preserve">The radiological appearance, combined with the clinical history of fever and cough, raises a differential diagnosis including atypical pneumonia or severe viral pneumonitis with secondary bacterial superinfection. In the context of Tehran’s healthcare environment, where seasonal respiratory illnesses are common, such patterns must be carefully correlated with local epidemiological data.</w:t>
      </w:r>
    </w:p>
    <w:bookmarkEnd w:id="27"/>
    <w:bookmarkStart w:id="28" w:name="discussion"/>
    <w:p>
      <w:pPr>
        <w:pStyle w:val="Heading2"/>
      </w:pPr>
      <w:r>
        <w:t xml:space="preserve">4. Discussion</w:t>
      </w:r>
    </w:p>
    <w:p>
      <w:pPr>
        <w:pStyle w:val="FirstParagraph"/>
      </w:pPr>
      <w:r>
        <w:t xml:space="preserve">The integration of laboratory and radiological data is crucial for accurate diagnosis. In this case, the elevated WBC and CRP levels support the radiologist's finding of active consolidation. The presence of ground-glass opacities on CT often indicates alveolar filling or interstitial thickening, which correlates with the inflammatory markers in blood.</w:t>
      </w:r>
    </w:p>
    <w:p>
      <w:pPr>
        <w:pStyle w:val="BodyText"/>
      </w:pPr>
      <w:r>
        <w:t xml:space="preserve">The role of the</w:t>
      </w:r>
      <w:r>
        <w:t xml:space="preserve"> </w:t>
      </w:r>
      <w:r>
        <w:rPr>
          <w:bCs/>
          <w:b/>
        </w:rPr>
        <w:t xml:space="preserve">Radiologist</w:t>
      </w:r>
      <w:r>
        <w:t xml:space="preserve"> </w:t>
      </w:r>
      <w:r>
        <w:t xml:space="preserve">extends beyond image interpretation; it involves clinical correlation. In</w:t>
      </w:r>
      <w:r>
        <w:t xml:space="preserve"> </w:t>
      </w:r>
      <w:r>
        <w:rPr>
          <w:bCs/>
          <w:b/>
        </w:rPr>
        <w:t xml:space="preserve">Iran, Tehran</w:t>
      </w:r>
      <w:r>
        <w:t xml:space="preserve">, radiologists are trained to consider local disease prevalence, such as tuberculosis or specific viral outbreaks, which may influence the differential diagnosis. The high patient volume in Tehran requires efficient workflow management without compromising diagnostic accuracy.</w:t>
      </w:r>
    </w:p>
    <w:p>
      <w:pPr>
        <w:pStyle w:val="BodyText"/>
      </w:pPr>
      <w:r>
        <w:t xml:space="preserve">This case highlights the importance of standardized protocols in both lab and imaging departments. The strict adherence to contrast safety guidelines reflects the rigorous standards maintained by medical professionals in Iran. Furthermore, digital integration allows for rapid sharing of images between radiologists and referring physicians, facilitating timely treatment decisions.</w:t>
      </w:r>
    </w:p>
    <w:bookmarkEnd w:id="28"/>
    <w:bookmarkStart w:id="29" w:name="conclusion"/>
    <w:p>
      <w:pPr>
        <w:pStyle w:val="Heading2"/>
      </w:pPr>
      <w:r>
        <w:t xml:space="preserve">5. Conclusion</w:t>
      </w:r>
    </w:p>
    <w:p>
      <w:pPr>
        <w:pStyle w:val="FirstParagraph"/>
      </w:pPr>
      <w:r>
        <w:t xml:space="preserve">This lab report demonstrates the synergistic approach required in modern diagnostic medicine. The combination of precise laboratory biomarkers and detailed radiological imaging provides a comprehensive view of the patient's condition. The findings support a diagnosis of acute pneumonia with significant inflammatory involvement.</w:t>
      </w:r>
    </w:p>
    <w:p>
      <w:pPr>
        <w:pStyle w:val="BodyText"/>
      </w:pPr>
      <w:r>
        <w:t xml:space="preserve">The efficiency and accuracy achieved in this case underscore the capabilities of healthcare facilities in</w:t>
      </w:r>
      <w:r>
        <w:t xml:space="preserve"> </w:t>
      </w:r>
      <w:r>
        <w:rPr>
          <w:bCs/>
          <w:b/>
        </w:rPr>
        <w:t xml:space="preserve">Iran, Tehran</w:t>
      </w:r>
      <w:r>
        <w:t xml:space="preserve">. It reflects the ongoing modernization of medical services in Iran, where international best practices are increasingly adopted. The collaborative effort between laboratory scientists and radiologists ensures that patients receive timely and effective care.</w:t>
      </w:r>
    </w:p>
    <w:p>
      <w:pPr>
        <w:pStyle w:val="BodyText"/>
      </w:pPr>
      <w:r>
        <w:t xml:space="preserve">We recommend a course of antibiotics tailored to local resistance patterns, along with supportive care. Follow-up imaging is advised in two weeks to assess resolution of consolidations.</w:t>
      </w:r>
    </w:p>
    <w:bookmarkEnd w:id="29"/>
    <w:bookmarkStart w:id="30" w:name="signatures"/>
    <w:p>
      <w:pPr>
        <w:pStyle w:val="Heading2"/>
      </w:pPr>
      <w:r>
        <w:t xml:space="preserve">6. Signatures</w:t>
      </w:r>
    </w:p>
    <w:p>
      <w:pPr>
        <w:pStyle w:val="FirstParagraph"/>
      </w:pPr>
      <w:r>
        <w:rPr>
          <w:bCs/>
          <w:b/>
        </w:rPr>
        <w:t xml:space="preserve">Laboratory Director:</w:t>
      </w:r>
      <w:r>
        <w:br/>
      </w:r>
      <w:r>
        <w:t xml:space="preserve">Dr. Ali Rezaei</w:t>
      </w:r>
      <w:r>
        <w:br/>
      </w:r>
      <w:r>
        <w:t xml:space="preserve">Chief Pathologist, Tehran Central Lab</w:t>
      </w:r>
    </w:p>
    <w:p>
      <w:pPr>
        <w:pStyle w:val="BodyText"/>
      </w:pPr>
      <w:r>
        <w:t xml:space="preserve">Radiologist:</w:t>
      </w:r>
      <w:r>
        <w:br/>
      </w:r>
      <w:r>
        <w:t xml:space="preserve">Dr. Maryam Hosseini</w:t>
      </w:r>
      <w:r>
        <w:br/>
      </w:r>
      <w:r>
        <w:t xml:space="preserve">Consultant Radiologist, Dept of Imaging</w:t>
      </w:r>
      <w:r>
        <w:br/>
      </w:r>
      <w:r>
        <w:t xml:space="preserve">Tehran University Hospital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Radiological Assessment and Diagnostic Workflow in Iran, Tehran</dc:title>
  <dc:creator/>
  <dc:language>en</dc:language>
  <cp:keywords/>
  <dcterms:created xsi:type="dcterms:W3CDTF">2026-07-29T08:29:07Z</dcterms:created>
  <dcterms:modified xsi:type="dcterms:W3CDTF">2026-07-29T08:29:07Z</dcterms:modified>
</cp:coreProperties>
</file>

<file path=docProps/custom.xml><?xml version="1.0" encoding="utf-8"?>
<Properties xmlns="http://schemas.openxmlformats.org/officeDocument/2006/custom-properties" xmlns:vt="http://schemas.openxmlformats.org/officeDocument/2006/docPropsVTypes"/>
</file>