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Clinical</w:t>
      </w:r>
      <w:r>
        <w:t xml:space="preserve"> </w:t>
      </w:r>
      <w:r>
        <w:t xml:space="preserve">Evaluation</w:t>
      </w:r>
      <w:r>
        <w:t xml:space="preserve"> </w:t>
      </w:r>
      <w:r>
        <w:t xml:space="preserve">in</w:t>
      </w:r>
      <w:r>
        <w:t xml:space="preserve"> </w:t>
      </w:r>
      <w:r>
        <w:t xml:space="preserve">Italy</w:t>
      </w:r>
      <w:r>
        <w:t xml:space="preserve"> </w:t>
      </w:r>
      <w:r>
        <w:t xml:space="preserve">Naples</w:t>
      </w:r>
    </w:p>
    <w:bookmarkStart w:id="27" w:name="clinical-diagnostic-laboratory-report"/>
    <w:p>
      <w:pPr>
        <w:pStyle w:val="Heading1"/>
      </w:pPr>
      <w:r>
        <w:t xml:space="preserve">Clinical Diagnostic Laboratory Report</w:t>
      </w:r>
    </w:p>
    <w:p>
      <w:pPr>
        <w:pStyle w:val="FirstParagraph"/>
      </w:pPr>
      <w:r>
        <w:rPr>
          <w:bCs/>
          <w:b/>
        </w:rPr>
        <w:t xml:space="preserve">Institution:</w:t>
      </w:r>
      <w:r>
        <w:t xml:space="preserve"> </w:t>
      </w:r>
      <w:r>
        <w:t xml:space="preserve">Università degli Studi di Napoli Federico II – Department of Radiological Sciences</w:t>
      </w:r>
    </w:p>
    <w:p>
      <w:pPr>
        <w:pStyle w:val="BodyText"/>
      </w:pPr>
      <w:r>
        <w:rPr>
          <w:bCs/>
          <w:b/>
        </w:rPr>
        <w:t xml:space="preserve">Date:</w:t>
      </w:r>
      <w:r>
        <w:t xml:space="preserve"> </w:t>
      </w:r>
      <w:r>
        <w:t xml:space="preserve">October 24, 2023</w:t>
      </w:r>
    </w:p>
    <w:p>
      <w:pPr>
        <w:pStyle w:val="BodyText"/>
      </w:pPr>
      <w:r>
        <w:rPr>
          <w:bCs/>
          <w:b/>
        </w:rPr>
        <w:t xml:space="preserve">Patient ID:</w:t>
      </w:r>
      <w:r>
        <w:t xml:space="preserve"> </w:t>
      </w:r>
      <w:r>
        <w:t xml:space="preserve">IT-NAP-8940-XJ</w:t>
      </w:r>
      <w:r>
        <w:br/>
      </w:r>
      <w:r>
        <w:rPr>
          <w:bCs/>
          <w:b/>
        </w:rPr>
        <w:t xml:space="preserve">MRI Reference Number:</w:t>
      </w:r>
      <w:r>
        <w:t xml:space="preserve">RAD-IMG-9921</w:t>
      </w:r>
      <w:r>
        <w:br/>
      </w:r>
      <w:r>
        <w:br/>
      </w:r>
    </w:p>
    <w:bookmarkStart w:id="20" w:name="i.-introduction-and-clinical-context"/>
    <w:p>
      <w:pPr>
        <w:pStyle w:val="Heading2"/>
      </w:pPr>
      <w:r>
        <w:t xml:space="preserve">I. Introduction and Clinical Context</w:t>
      </w:r>
    </w:p>
    <w:p>
      <w:pPr>
        <w:pStyle w:val="FirstParagraph"/>
      </w:pPr>
      <w:r>
        <w:t xml:space="preserve">This comprehensive laboratory report serves as a formal documentation of the diagnostic imaging procedures conducted upon the referenced patient. The scope of this evaluation is strictly confined within the medical jurisdiction and regulatory framework of Italy Naples, ensuring full compliance with both national Italian health standards (Servizio Sanitario Nazionale) and European Union directives regarding radiological safety and data privacy (GDPR).</w:t>
      </w:r>
    </w:p>
    <w:p>
      <w:pPr>
        <w:pStyle w:val="BodyText"/>
      </w:pPr>
      <w:r>
        <w:t xml:space="preserve">The primary objective of this assignment is to provide a rigorous analysis of the patient’s internal anatomical structures through advanced imaging modalities. Central to this process is the role of the specialized Radiologist, whose expertise dictates not only the acquisition of high-fidelity images but also their subsequent interpretation. In Italy Naples, a city renowned for its historic medical universities and modern healthcare integration, such reports are critical for establishing accurate diagnoses that guide therapeutic interventions. This document details the methodology employed by our Board-Certified Radiologist during the examination performed at our facilities in the Campania region.</w:t>
      </w:r>
    </w:p>
    <w:bookmarkEnd w:id="20"/>
    <w:bookmarkStart w:id="21" w:name="X5211114f80118c566de8cf2de698d631a47d56b"/>
    <w:p>
      <w:pPr>
        <w:pStyle w:val="Heading2"/>
      </w:pPr>
      <w:r>
        <w:t xml:space="preserve">II. Role of the Radiologist in Diagnostic Precision</w:t>
      </w:r>
    </w:p>
    <w:p>
      <w:pPr>
        <w:pStyle w:val="FirstParagraph"/>
      </w:pPr>
      <w:r>
        <w:t xml:space="preserve">The function of a Radiologist extends far beyond simple image capture; it involves a complex synthesis of physics, anatomy, and pathology. In this specific report, we highlight the indispensable contribution of our leading Radiologist who oversaw the entire workflow. The Radiologist is responsible for selecting the appropriate imaging parameters to maximize diagnostic yield while minimizing radiation exposure (in cases involving CT scans) or contrast agent risks.</w:t>
      </w:r>
    </w:p>
    <w:p>
      <w:pPr>
        <w:pStyle w:val="BodyText"/>
      </w:pPr>
      <w:r>
        <w:t xml:space="preserve">In Italy Naples, where healthcare facilities are often integrated with academic research centers, the standard of care requires a dual-reading approach for complex cases. Our Radiologist performed an initial primary interpretation followed by a peer review from a second subspecialist in neuroradiology and musculoskeletal imaging. This collaborative method ensures that subtle anomalies are not overlooked. The Radiologist’s expertise is particularly vital when navigating the high volume of patient traffic typical of major Italian medical centers, ensuring efficiency without compromising accuracy.</w:t>
      </w:r>
    </w:p>
    <w:p>
      <w:pPr>
        <w:pStyle w:val="BodyText"/>
      </w:pPr>
      <w:r>
        <w:t xml:space="preserve">The technical proficiency demonstrated by the Radiologist in this case involved optimizing Magnetic Resonance Imaging (MRI) sequences to differentiate between soft tissue types with exceptional contrast resolution. This level of detail is crucial for distinguishing inflammatory processes from neoplastic growths, a distinction that profoundly impacts patient prognosis and treatment planning.</w:t>
      </w:r>
    </w:p>
    <w:bookmarkEnd w:id="21"/>
    <w:bookmarkStart w:id="22" w:name="iii.-methodology-and-imaging-protocols"/>
    <w:p>
      <w:pPr>
        <w:pStyle w:val="Heading2"/>
      </w:pPr>
      <w:r>
        <w:t xml:space="preserve">III. Methodology and Imaging Protocols</w:t>
      </w:r>
    </w:p>
    <w:p>
      <w:pPr>
        <w:pStyle w:val="FirstParagraph"/>
      </w:pPr>
      <w:r>
        <w:t xml:space="preserve">The examination was conducted using a 3-Tesla Magnetic Resonance Imaging (MRI) system, the current gold standard for soft tissue evaluation. The protocol included T1-weighted, T2-weighted, Fluid-Attenuated Inversion Recovery (FLAIR), and Diffusion-Weighted Imaging (DWI) sequences. These specific protocols were selected based on the clinical history provided by referring physicians in Italy Naples, who suspected an underlying neurological anomaly.</w:t>
      </w:r>
    </w:p>
    <w:p>
      <w:pPr>
        <w:pStyle w:val="BodyText"/>
      </w:pPr>
      <w:r>
        <w:t xml:space="preserve">All imaging procedures adhered to strict safety guidelines established by the Italian Society of Medical and Interventional Radiology (SIRM). The Radiologist verified that no contraindications, such as metallic implants or severe claustrophobia unmanaged by sedation, were present prior to entering the scanner room. Contrast administration was performed only after confirming negative allergy history via a structured questionnaire, a mandatory safety step in Italian clinical practice.</w:t>
      </w:r>
    </w:p>
    <w:bookmarkEnd w:id="22"/>
    <w:bookmarkStart w:id="23" w:name="iv.-findings"/>
    <w:p>
      <w:pPr>
        <w:pStyle w:val="Heading2"/>
      </w:pPr>
      <w:r>
        <w:t xml:space="preserve">IV. Findings</w:t>
      </w:r>
    </w:p>
    <w:p>
      <w:pPr>
        <w:pStyle w:val="FirstParagraph"/>
      </w:pPr>
      <w:r>
        <w:rPr>
          <w:bCs/>
          <w:b/>
        </w:rPr>
        <w:t xml:space="preserve">Anatomical Assessment:</w:t>
      </w:r>
      <w:r>
        <w:br/>
      </w:r>
      <w:r>
        <w:t xml:space="preserve">The Radiologist’s analysis reveals symmetrical cerebral hemispheres with normal sulcal and gyral patterns. There is no evidence of midline shift or mass effect. The ventricular system appears normal in size and configuration, ruling out hydrocephalus.</w:t>
      </w:r>
    </w:p>
    <w:p>
      <w:pPr>
        <w:pStyle w:val="BodyText"/>
      </w:pPr>
      <w:r>
        <w:rPr>
          <w:bCs/>
          <w:b/>
        </w:rPr>
        <w:t xml:space="preserve">Pathological Observations:</w:t>
      </w:r>
      <w:r>
        <w:br/>
      </w:r>
      <w:r>
        <w:t xml:space="preserve">On the T2-weighted and FLAIR sequences, a focal hyperintense lesion is observed in the left temporal lobe. This finding measures approximately 1.5 cm in diameter. The lesion demonstrates restricted diffusion on DWI sequences, suggesting high cellularity or viscosity within the core, which was further characterized by our Radiologist as potentially consistent with an acute ischemic infarct or a hypercellular neoplastic process.</w:t>
      </w:r>
    </w:p>
    <w:p>
      <w:pPr>
        <w:pStyle w:val="BodyText"/>
      </w:pPr>
      <w:r>
        <w:rPr>
          <w:bCs/>
          <w:b/>
        </w:rPr>
        <w:t xml:space="preserve">Vascular Structures:</w:t>
      </w:r>
      <w:r>
        <w:br/>
      </w:r>
      <w:r>
        <w:t xml:space="preserve">Magnetic Resonance Angiography (MRA) performed as part of the protocol shows patent major intracranial arteries. No significant stenosis or aneurysmal dilation is noted in the circle of Willis. The Radiologist noted good flow voids, indicating normal blood flow dynamics despite the parenchymal abnormality.</w:t>
      </w:r>
    </w:p>
    <w:bookmarkEnd w:id="23"/>
    <w:bookmarkStart w:id="24" w:name="v.-impression-and-diagnostic-conclusion"/>
    <w:p>
      <w:pPr>
        <w:pStyle w:val="Heading2"/>
      </w:pPr>
      <w:r>
        <w:t xml:space="preserve">V. Impression and Diagnostic Conclusion</w:t>
      </w:r>
    </w:p>
    <w:p>
      <w:pPr>
        <w:pStyle w:val="FirstParagraph"/>
      </w:pPr>
      <w:r>
        <w:t xml:space="preserve">Based on the comprehensive evaluation conducted by our team of Radiologists in Italy Naples, the following impressions are rendered:</w:t>
      </w:r>
    </w:p>
    <w:p>
      <w:pPr>
        <w:numPr>
          <w:ilvl w:val="0"/>
          <w:numId w:val="1001"/>
        </w:numPr>
        <w:pStyle w:val="Compact"/>
      </w:pPr>
      <w:r>
        <w:t xml:space="preserve">A focal hyperintense lesion in the left temporal lobe with restricted diffusion. Differential diagnosis includes acute ischemic stroke versus high-grade glioma.</w:t>
      </w:r>
    </w:p>
    <w:p>
      <w:pPr>
        <w:numPr>
          <w:ilvl w:val="0"/>
          <w:numId w:val="1001"/>
        </w:numPr>
        <w:pStyle w:val="Compact"/>
      </w:pPr>
      <w:r>
        <w:t xml:space="preserve">No evidence of intracranial hemorrhage or large vessel occlusion.</w:t>
      </w:r>
    </w:p>
    <w:p>
      <w:pPr>
        <w:pStyle w:val="FirstParagraph"/>
      </w:pPr>
      <w:r>
        <w:t xml:space="preserve">The Radiologist recommends an urgent follow-up with contrast-enhanced MRI within 48 hours to better characterize the lesion’s enhancement pattern. Additionally, clinical correlation with neurologic deficits is strongly advised for patients in Italy Naples presenting similar symptoms.</w:t>
      </w:r>
    </w:p>
    <w:bookmarkEnd w:id="24"/>
    <w:bookmarkStart w:id="25" w:name="X26a8acc912f7086009c5568ff2ce7856c72cef0"/>
    <w:p>
      <w:pPr>
        <w:pStyle w:val="Heading2"/>
      </w:pPr>
      <w:r>
        <w:t xml:space="preserve">VI. Ethical and Administrative Compliance</w:t>
      </w:r>
    </w:p>
    <w:p>
      <w:pPr>
        <w:pStyle w:val="FirstParagraph"/>
      </w:pPr>
      <w:r>
        <w:t xml:space="preserve">This report has been generated in strict accordance with Italian Law (Legge Gelli-Bianco) regarding medical malpractice prevention and patient safety. The Radiologist assumes full professional responsibility for the accuracy of these findings. All data stored within our information systems in Italy Naples are encrypted and accessible only to authorized healthcare providers involved in the patient’s care chain.</w:t>
      </w:r>
    </w:p>
    <w:p>
      <w:pPr>
        <w:pStyle w:val="BodyText"/>
      </w:pPr>
      <w:r>
        <w:t xml:space="preserve">It is imperative that referring physicians recognize that this Lab Report represents a radiological assessment based on imaging characteristics. Clinical judgment remains paramount, and the final diagnosis should be a multidisciplinary effort involving clinical specialists, surgeons, and oncologists as necessary.</w:t>
      </w:r>
    </w:p>
    <w:bookmarkEnd w:id="25"/>
    <w:bookmarkStart w:id="26" w:name="vii.-conclusion"/>
    <w:p>
      <w:pPr>
        <w:pStyle w:val="Heading2"/>
      </w:pPr>
      <w:r>
        <w:t xml:space="preserve">VII. Conclusion</w:t>
      </w:r>
    </w:p>
    <w:p>
      <w:pPr>
        <w:pStyle w:val="FirstParagraph"/>
      </w:pPr>
      <w:r>
        <w:t xml:space="preserve">This document underscores the critical importance of specialized Radiologist expertise in delivering high-quality healthcare within Italy Naples. Through rigorous methodology and advanced technological integration, we aim to provide diagnostic clarity that directly influences patient outcomes. The findings detailed herein serve as a foundational element for subsequent clinical decision-making, ensuring that the patient receives timely and appropriate medical intervention.</w:t>
      </w:r>
    </w:p>
    <w:p>
      <w:pPr>
        <w:pStyle w:val="BodyText"/>
      </w:pPr>
      <w:r>
        <w:rPr>
          <w:bCs/>
          <w:b/>
        </w:rPr>
        <w:t xml:space="preserve">Authorized Signatory:</w:t>
      </w:r>
    </w:p>
    <w:p>
      <w:pPr>
        <w:pStyle w:val="BodyText"/>
      </w:pPr>
      <w:r>
        <w:rPr>
          <w:iCs/>
          <w:i/>
        </w:rPr>
        <w:t xml:space="preserve">Mario Rossi, MD, PhD</w:t>
      </w:r>
    </w:p>
    <w:p>
      <w:pPr>
        <w:pStyle w:val="BodyText"/>
      </w:pPr>
      <w:r>
        <w:rPr>
          <w:bCs/>
          <w:b/>
        </w:rPr>
        <w:t xml:space="preserve">Title:</w:t>
      </w:r>
      <w:r>
        <w:t xml:space="preserve"> </w:t>
      </w:r>
      <w:r>
        <w:t xml:space="preserve">Chief of Radiology Department</w:t>
      </w:r>
    </w:p>
    <w:p>
      <w:pPr>
        <w:pStyle w:val="BodyText"/>
      </w:pPr>
      <w:r>
        <w:br/>
      </w:r>
      <w:r>
        <w:br/>
      </w:r>
      <w:r>
        <w:t xml:space="preserve">Signature Image</w:t>
      </w:r>
    </w:p>
    <w:p>
      <w:pPr>
        <w:pStyle w:val="BodyText"/>
      </w:pPr>
      <w:r>
        <w:rPr>
          <w:iCs/>
          <w:i/>
        </w:rPr>
        <w:t xml:space="preserve">This document is electronically signed and verified under the digital standards of the Italian Ministry of Health.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Clinical Evaluation in Italy Naples</dc:title>
  <dc:creator/>
  <dc:language>en</dc:language>
  <cp:keywords/>
  <dcterms:created xsi:type="dcterms:W3CDTF">2026-07-30T06:32:29Z</dcterms:created>
  <dcterms:modified xsi:type="dcterms:W3CDTF">2026-07-30T06:32:29Z</dcterms:modified>
</cp:coreProperties>
</file>

<file path=docProps/custom.xml><?xml version="1.0" encoding="utf-8"?>
<Properties xmlns="http://schemas.openxmlformats.org/officeDocument/2006/custom-properties" xmlns:vt="http://schemas.openxmlformats.org/officeDocument/2006/docPropsVTypes"/>
</file>