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radiology-department-laboratory-report"/>
    <w:p>
      <w:pPr>
        <w:pStyle w:val="Heading1"/>
      </w:pPr>
      <w:r>
        <w:t xml:space="preserve">Radiology Department Laboratory Report</w:t>
      </w:r>
    </w:p>
    <w:p>
      <w:pPr>
        <w:pStyle w:val="FirstParagraph"/>
      </w:pPr>
      <w:r>
        <w:rPr>
          <w:bCs/>
          <w:b/>
        </w:rPr>
        <w:t xml:space="preserve">Institution:</w:t>
      </w:r>
      <w:r>
        <w:t xml:space="preserve">Clinique Saint-Joseph &amp; Centre d’Imagerie Médicale</w:t>
      </w:r>
      <w:r>
        <w:br/>
      </w:r>
      <w:r>
        <w:rPr>
          <w:bCs/>
          <w:b/>
        </w:rPr>
        <w:t xml:space="preserve">Date of Report:</w:t>
      </w:r>
    </w:p>
    <w:p>
      <w:pPr>
        <w:pStyle w:val="BodyText"/>
      </w:pPr>
      <w:r>
        <w:t xml:space="preserve">October 24, 2023</w:t>
      </w:r>
      <w:r>
        <w:br/>
      </w:r>
    </w:p>
    <w:p>
      <w:pPr>
        <w:pStyle w:val="BodyText"/>
      </w:pPr>
      <w:r>
        <w:t xml:space="preserve">Reference No.:</w:t>
      </w:r>
    </w:p>
    <w:p>
      <w:pPr>
        <w:pStyle w:val="BodyText"/>
      </w:pPr>
      <w:r>
        <w:t xml:space="preserve">RAD-ABJ-2023-8941</w:t>
      </w:r>
    </w:p>
    <w:bookmarkEnd w:id="20"/>
    <w:bookmarkStart w:id="27" w:name="patient-information"/>
    <w:p>
      <w:pPr>
        <w:pStyle w:val="Heading2"/>
      </w:pPr>
      <w:r>
        <w:t xml:space="preserve">Patient Information</w:t>
      </w:r>
    </w:p>
    <w:p>
      <w:pPr>
        <w:numPr>
          <w:ilvl w:val="0"/>
          <w:numId w:val="1001"/>
        </w:numPr>
        <w:pStyle w:val="Compact"/>
      </w:pPr>
      <w:r>
        <w:t xml:space="preserve">Patient Name:</w:t>
      </w:r>
    </w:p>
    <w:p>
      <w:pPr>
        <w:numPr>
          <w:ilvl w:val="0"/>
          <w:numId w:val="1000"/>
        </w:numPr>
        <w:pStyle w:val="Compact"/>
      </w:pPr>
      <w:r>
        <w:t xml:space="preserve">Jean-Marc Koné</w:t>
      </w:r>
    </w:p>
    <w:p>
      <w:pPr>
        <w:numPr>
          <w:ilvl w:val="0"/>
          <w:numId w:val="1001"/>
        </w:numPr>
        <w:pStyle w:val="Compact"/>
      </w:pPr>
      <w:r>
        <w:t xml:space="preserve">Date of Birth:</w:t>
      </w:r>
    </w:p>
    <w:p>
      <w:pPr>
        <w:numPr>
          <w:ilvl w:val="0"/>
          <w:numId w:val="1000"/>
        </w:numPr>
        <w:pStyle w:val="Compact"/>
      </w:pPr>
      <w:r>
        <w:t xml:space="preserve">14/05/1978 (Age: 45)</w:t>
      </w:r>
    </w:p>
    <w:p>
      <w:pPr>
        <w:numPr>
          <w:ilvl w:val="0"/>
          <w:numId w:val="1001"/>
        </w:numPr>
        <w:pStyle w:val="Compact"/>
      </w:pPr>
      <w:r>
        <w:t xml:space="preserve">ID Number:</w:t>
      </w:r>
    </w:p>
    <w:p>
      <w:pPr>
        <w:numPr>
          <w:ilvl w:val="0"/>
          <w:numId w:val="1000"/>
        </w:numPr>
        <w:pStyle w:val="Compact"/>
      </w:pPr>
      <w:r>
        <w:t xml:space="preserve">CIV-98765432</w:t>
      </w:r>
    </w:p>
    <w:p>
      <w:pPr>
        <w:numPr>
          <w:ilvl w:val="0"/>
          <w:numId w:val="1001"/>
        </w:numPr>
        <w:pStyle w:val="Compact"/>
      </w:pPr>
      <w:r>
        <w:t xml:space="preserve">Referring Physician:</w:t>
      </w:r>
    </w:p>
    <w:p>
      <w:pPr>
        <w:numPr>
          <w:ilvl w:val="0"/>
          <w:numId w:val="1000"/>
        </w:numPr>
        <w:pStyle w:val="Compact"/>
      </w:pPr>
      <w:r>
        <w:t xml:space="preserve">Dr. Awa Diallo, Internal Medicine</w:t>
      </w:r>
    </w:p>
    <w:p>
      <w:pPr>
        <w:pStyle w:val="FirstParagraph"/>
      </w:pPr>
      <w:r>
        <w:t xml:space="preserve">// Remove default bullets for the patient info block to make it look more like a form.</w:t>
      </w:r>
    </w:p>
    <w:bookmarkStart w:id="21" w:name="i.-clinical-context-and-indication"/>
    <w:p>
      <w:pPr>
        <w:pStyle w:val="Heading3"/>
      </w:pPr>
      <w:r>
        <w:t xml:space="preserve">I. Clinical Context and Indication</w:t>
      </w:r>
    </w:p>
    <w:p>
      <w:pPr>
        <w:pStyle w:val="FirstParagraph"/>
      </w:pPr>
      <w:r>
        <w:t xml:space="preserve">This laboratory report details the diagnostic imaging findings conducted on Mr. Jean-Marc Koné at our facility in Abidjan, Ivory Coast.The clinical indication for this examination arises from persistent symptoms reported by the patient, including localized pain in the abdominal region and unexplained weight loss over a period of three months. The referring physician, Dr. Awa Diallo, requested a comprehensive abdominal and pelvic CT scan to rule out malignancies or structural abnormalities within the retroperitoneal space.Given the geographic location of</w:t>
      </w:r>
      <w:r>
        <w:t xml:space="preserve"> </w:t>
      </w:r>
      <w:r>
        <w:t xml:space="preserve">Ivory Coast Abidjan</w:t>
      </w:r>
      <w:r>
        <w:t xml:space="preserve">, where infectious diseases such as schistosomiasis and parasitic infections are prevalent in differential diagnoses, it is crucial to distinguish between inflammatory processes caused by parasites versus neoplastic growths. The role of the</w:t>
      </w:r>
      <w:r>
        <w:t xml:space="preserve"> </w:t>
      </w:r>
      <w:r>
        <w:t xml:space="preserve">Radiologist</w:t>
      </w:r>
      <w:r>
        <w:t xml:space="preserve"> </w:t>
      </w:r>
      <w:r>
        <w:t xml:space="preserve">is pivotal in this diagnostic pathway, requiring a nuanced understanding of both global pathological standards and local epidemiological realities.</w:t>
      </w:r>
    </w:p>
    <w:bookmarkEnd w:id="21"/>
    <w:bookmarkStart w:id="22" w:name="ii.-examination-technique"/>
    <w:p>
      <w:pPr>
        <w:pStyle w:val="Heading3"/>
      </w:pPr>
      <w:r>
        <w:t xml:space="preserve">II. Examination Technique</w:t>
      </w:r>
    </w:p>
    <w:p>
      <w:pPr>
        <w:pStyle w:val="FirstParagraph"/>
      </w:pPr>
      <w:r>
        <w:t xml:space="preserve">The procedure was performed using a state-of-the-art 128-slice multidetector computed tomography (CT) scanner located in the advanced imaging wing of our facility. Prior to the acquisition, the patient fasted for six hours to ensure gastric emptying and to minimize motion artifacts from peristalsis. Oral contrast medium was administered one hour prior to the scan to delineate the gastrointestinal tract clearly.Intravenous contrast (iodinated, non-ionic) was injected at a rate of 4 mL/s using an automated power injector. Scanning commenced in the arterial phase followed by a portal venous phase and a delayed phase for kidney evaluation.This multi-phase approach is standard practice for any qualified</w:t>
      </w:r>
      <w:r>
        <w:t xml:space="preserve"> </w:t>
      </w:r>
      <w:r>
        <w:t xml:space="preserve">Radiologist</w:t>
      </w:r>
      <w:r>
        <w:t xml:space="preserve"> </w:t>
      </w:r>
      <w:r>
        <w:t xml:space="preserve">operating in high-volume centers like those found in Abidjan, ensuring that vascular structures and organ perfusion are accurately assessed. The technical parameters were optimized to balance image quality with radiation dose, adhering strictly to international safety guidelines while considering the specific equipment maintenance capabilities available within the region.</w:t>
      </w:r>
    </w:p>
    <w:bookmarkEnd w:id="22"/>
    <w:bookmarkStart w:id="23" w:name="iii.-findings"/>
    <w:p>
      <w:pPr>
        <w:pStyle w:val="Heading3"/>
      </w:pPr>
      <w:r>
        <w:t xml:space="preserve">III. Findings</w:t>
      </w:r>
    </w:p>
    <w:p>
      <w:pPr>
        <w:pStyle w:val="FirstParagraph"/>
      </w:pPr>
      <w:r>
        <w:rPr>
          <w:bCs/>
          <w:b/>
        </w:rPr>
        <w:t xml:space="preserve">Liver:</w:t>
      </w:r>
    </w:p>
    <w:p>
      <w:pPr>
        <w:pStyle w:val="BodyText"/>
      </w:pPr>
      <w:r>
        <w:t xml:space="preserve">The liver demonstrates homogeneous enhancement without focal lesions. There is no evidence of cirrhosis, steatosis, or biliary dilatation. The intrahepatic bile ducts are normal in caliber. No signs of hydatid cysts were observed, which is a significant exclusion given the prevalence of parasitic diseases in West Africa.</w:t>
      </w:r>
    </w:p>
    <w:p>
      <w:pPr>
        <w:pStyle w:val="BodyText"/>
      </w:pPr>
      <w:r>
        <w:br/>
      </w:r>
    </w:p>
    <w:p>
      <w:pPr>
        <w:pStyle w:val="BodyText"/>
      </w:pPr>
      <w:r>
        <w:rPr>
          <w:bCs/>
          <w:b/>
        </w:rPr>
        <w:t xml:space="preserve">Biliary System and Pancreas:</w:t>
      </w:r>
    </w:p>
    <w:p>
      <w:pPr>
        <w:pStyle w:val="BodyText"/>
      </w:pPr>
      <w:r>
        <w:t xml:space="preserve">The gallbladder contains small calculi (cholelithiasis) measuring up to 8mm, but there is no wall thickening or pericholecystic fluid to suggest acute cholecystitis. The pancreas appears normal in size and contour, with no mass lesions or pancreatic ductal dilatation. No signs of acute pancreatitis were noted.</w:t>
      </w:r>
    </w:p>
    <w:p>
      <w:pPr>
        <w:pStyle w:val="BodyText"/>
      </w:pPr>
      <w:r>
        <w:br/>
      </w:r>
    </w:p>
    <w:p>
      <w:pPr>
        <w:pStyle w:val="BodyText"/>
      </w:pPr>
      <w:r>
        <w:rPr>
          <w:bCs/>
          <w:b/>
        </w:rPr>
        <w:t xml:space="preserve">Spleen:</w:t>
      </w:r>
    </w:p>
    <w:p>
      <w:pPr>
        <w:pStyle w:val="BodyText"/>
      </w:pPr>
      <w:r>
        <w:t xml:space="preserve">The spleen is normal in size and density. There are no splenic infarcts or abscesses.</w:t>
      </w:r>
    </w:p>
    <w:p>
      <w:pPr>
        <w:pStyle w:val="BodyText"/>
      </w:pPr>
      <w:r>
        <w:br/>
      </w:r>
    </w:p>
    <w:p>
      <w:pPr>
        <w:pStyle w:val="BodyText"/>
      </w:pPr>
      <w:r>
        <w:t xml:space="preserve">Kidneys and Adrenals:</w:t>
      </w:r>
    </w:p>
    <w:p>
      <w:pPr>
        <w:pStyle w:val="BodyText"/>
      </w:pPr>
      <w:r>
        <w:t xml:space="preserve">pBoth kidneys show normal enhancement patterns. No renal calculi, masses, or hydronephrosis were identified. The adrenal glands are unremarkable.</w:t>
      </w:r>
    </w:p>
    <w:p>
      <w:pPr>
        <w:pStyle w:val="BodyText"/>
      </w:pPr>
      <w:r>
        <w:br/>
      </w:r>
    </w:p>
    <w:p>
      <w:pPr>
        <w:pStyle w:val="BodyText"/>
      </w:pPr>
      <w:r>
        <w:t xml:space="preserve">Bowel and Mesentery:</w:t>
      </w:r>
    </w:p>
    <w:p>
      <w:pPr>
        <w:pStyle w:val="BodyText"/>
      </w:pPr>
      <w:r>
        <w:t xml:space="preserve">pWithin the abdominal cavity, a 4cm mass is identified in the mesentery of the small bowel loop. The lesion appears heterogeneous with areas of necrosis and irregular borders. It displaces adjacent bowel loops but does not appear to cause obstruction at this stage. There is no significant lymphadenopathy noted in the para-aortic or mesenteric chains, although several reactive nodes up to 1cm are present.</w:t>
      </w:r>
    </w:p>
    <w:p>
      <w:pPr>
        <w:pStyle w:val="BodyText"/>
      </w:pPr>
      <w:r>
        <w:br/>
      </w:r>
    </w:p>
    <w:p>
      <w:pPr>
        <w:pStyle w:val="BodyText"/>
      </w:pPr>
      <w:r>
        <w:t xml:space="preserve">Retroperitoneum:</w:t>
      </w:r>
    </w:p>
    <w:p>
      <w:pPr>
        <w:pStyle w:val="BodyText"/>
      </w:pPr>
      <w:r>
        <w:t xml:space="preserve">pThe retroperitoneal space shows no evidence of large vessel aneurysms or hematoma. The aorta and inferior vena cava are patent with normal caliber.</w:t>
      </w:r>
    </w:p>
    <w:p>
      <w:pPr>
        <w:pStyle w:val="BodyText"/>
      </w:pPr>
      <w:r>
        <w:t xml:space="preserve">// Remove default bullets for the patient info block to make it look more like a form.</w:t>
      </w:r>
    </w:p>
    <w:bookmarkEnd w:id="23"/>
    <w:bookmarkStart w:id="24" w:name="iv.-radiologists-impression-and-analysis"/>
    <w:p>
      <w:pPr>
        <w:pStyle w:val="Heading3"/>
      </w:pPr>
      <w:r>
        <w:t xml:space="preserve">IV. Radiologist’s Impression and Analysis</w:t>
      </w:r>
    </w:p>
    <w:p>
      <w:pPr>
        <w:pStyle w:val="FirstParagraph"/>
      </w:pPr>
      <w:r>
        <w:t xml:space="preserve">The primary finding of this study is a heterogeneous mesenteric mass measuring approximately 4cm in diameter, located near the jejunum.Issues regarding differential diagnosis are critical here.From a global radiological perspective, such a mass raises suspicion for lymphoma, gastrointestinal stromal tumor (GIST), or metastatic disease. However, as the</w:t>
      </w:r>
      <w:r>
        <w:t xml:space="preserve"> </w:t>
      </w:r>
      <w:r>
        <w:t xml:space="preserve">Radiologist</w:t>
      </w:r>
      <w:r>
        <w:t xml:space="preserve"> </w:t>
      </w:r>
      <w:r>
        <w:t xml:space="preserve">interpreting this scan in the context of</w:t>
      </w:r>
      <w:r>
        <w:t xml:space="preserve"> </w:t>
      </w:r>
      <w:r>
        <w:t xml:space="preserve">Ivory Coast Abidjan</w:t>
      </w:r>
      <w:r>
        <w:t xml:space="preserve">, we must also consider infectious etiologies that are endemic to the region.Tuberculous lymphadenitis can present as necrotic nodes, and certain parasitic infections can cause granulomatous reactions, though a discrete 4cm necrotic mass is less typical for simple parasitic infection.</w:t>
      </w:r>
    </w:p>
    <w:p>
      <w:pPr>
        <w:pStyle w:val="BodyText"/>
      </w:pPr>
      <w:r>
        <w:t xml:space="preserve">The presence of cholelithiasis is an incidental finding and likely unrelated to the primary symptoms unless biliary colic is suspected, which does not align with the weight loss reported. The absence of liver involvement or distant metastasis on this CT scan is a favorable prognostic sign if the mass proves to be malignant.</w:t>
      </w:r>
    </w:p>
    <w:p>
      <w:pPr>
        <w:pStyle w:val="BodyText"/>
      </w:pPr>
      <w:r>
        <w:t xml:space="preserve">It must be emphasized that imaging alone cannot provide a definitive histological diagnosis. The morphological characteristics—specifically the heterogeneity and necrosis—are concerning for a neoplastic process. Therefore, correlation with clinical history, laboratory markers (such as LDH, CBC, and inflammatory markers), and potentially biopsy is required.</w:t>
      </w:r>
    </w:p>
    <w:bookmarkEnd w:id="24"/>
    <w:bookmarkStart w:id="25" w:name="v.-recommendations"/>
    <w:p>
      <w:pPr>
        <w:pStyle w:val="Heading3"/>
      </w:pPr>
      <w:r>
        <w:t xml:space="preserve">V. Recommendations</w:t>
      </w:r>
    </w:p>
    <w:p>
      <w:pPr>
        <w:pStyle w:val="FirstParagraph"/>
      </w:pPr>
      <w:r>
        <w:t xml:space="preserve">To ensure the highest standard of care for the patient in Abidjan, the following steps are recommended based on current radiological best practices:</w:t>
      </w:r>
    </w:p>
    <w:p>
      <w:pPr>
        <w:numPr>
          <w:ilvl w:val="0"/>
          <w:numId w:val="1002"/>
        </w:numPr>
        <w:pStyle w:val="Compact"/>
      </w:pPr>
      <w:r>
        <w:rPr>
          <w:bCs/>
          <w:b/>
        </w:rPr>
        <w:t xml:space="preserve">Biopsy:</w:t>
      </w:r>
    </w:p>
    <w:p>
      <w:pPr>
        <w:numPr>
          <w:ilvl w:val="0"/>
          <w:numId w:val="1000"/>
        </w:numPr>
        <w:pStyle w:val="Compact"/>
      </w:pPr>
      <w:r>
        <w:t xml:space="preserve">A CT-guided core needle biopsy of the mesenteric mass is strongly advised to obtain tissue for histopathological analysis. This is the gold standard for distinguishing between lymphoma, GIST, and infectious granulomas.</w:t>
      </w:r>
    </w:p>
    <w:p>
      <w:pPr>
        <w:numPr>
          <w:ilvl w:val="0"/>
          <w:numId w:val="1000"/>
        </w:numPr>
        <w:pStyle w:val="Compact"/>
      </w:pPr>
      <w:r>
        <w:br/>
      </w:r>
    </w:p>
    <w:p>
      <w:pPr>
        <w:numPr>
          <w:ilvl w:val="0"/>
          <w:numId w:val="1002"/>
        </w:numPr>
        <w:pStyle w:val="Compact"/>
      </w:pPr>
      <w:r>
        <w:t xml:space="preserve">Laboratory Workup:</w:t>
      </w:r>
    </w:p>
    <w:p>
      <w:pPr>
        <w:numPr>
          <w:ilvl w:val="0"/>
          <w:numId w:val="1000"/>
        </w:numPr>
        <w:pStyle w:val="Compact"/>
      </w:pPr>
      <w:r>
        <w:t xml:space="preserve">pRequest complete blood count (CBC), erythrocyte sedimentation rate (ESR), C-reactive protein (CRP), and lactate dehydrogenase (LDH). Additionally, serological testing for tuberculosis and common parasitic infections endemic to</w:t>
      </w:r>
      <w:r>
        <w:t xml:space="preserve"> </w:t>
      </w:r>
      <w:r>
        <w:t xml:space="preserve">Ivory Coast Abidjan</w:t>
      </w:r>
      <w:r>
        <w:t xml:space="preserve"> </w:t>
      </w:r>
      <w:r>
        <w:t xml:space="preserve">should be performed to rule out infectious causes.</w:t>
      </w:r>
    </w:p>
    <w:p>
      <w:pPr>
        <w:numPr>
          <w:ilvl w:val="0"/>
          <w:numId w:val="1000"/>
        </w:numPr>
        <w:pStyle w:val="Compact"/>
      </w:pPr>
      <w:r>
        <w:br/>
      </w:r>
    </w:p>
    <w:p>
      <w:pPr>
        <w:numPr>
          <w:ilvl w:val="0"/>
          <w:numId w:val="1002"/>
        </w:numPr>
        <w:pStyle w:val="Compact"/>
      </w:pPr>
      <w:r>
        <w:t xml:space="preserve">Multidisciplinary Review:</w:t>
      </w:r>
    </w:p>
    <w:p>
      <w:pPr>
        <w:numPr>
          <w:ilvl w:val="0"/>
          <w:numId w:val="1000"/>
        </w:numPr>
        <w:pStyle w:val="Compact"/>
      </w:pPr>
      <w:r>
        <w:t xml:space="preserve">The case should be discussed in a tumor board or multidisciplinary team meeting involving surgeons, oncologists, and infectious disease specialists to determine the optimal management plan.</w:t>
      </w:r>
    </w:p>
    <w:p>
      <w:pPr>
        <w:pStyle w:val="FirstParagraph"/>
      </w:pPr>
      <w:r>
        <w:t xml:space="preserve">// Standard bullet list for recommendations.</w:t>
      </w:r>
    </w:p>
    <w:bookmarkEnd w:id="25"/>
    <w:bookmarkStart w:id="26" w:name="vi.-conclusion"/>
    <w:p>
      <w:pPr>
        <w:pStyle w:val="Heading3"/>
      </w:pPr>
      <w:r>
        <w:t xml:space="preserve">VI. Conclusion</w:t>
      </w:r>
    </w:p>
    <w:p>
      <w:pPr>
        <w:pStyle w:val="FirstParagraph"/>
      </w:pPr>
      <w:r>
        <w:t xml:space="preserve">In summary, this CT scan reveals a suspicious mesenteric mass requiring further diagnostic investigation via biopsy. While the findings are radiologically indicative of a potential neoplasm, the local context of healthcare in Abidjan necessitates a broad differential diagnosis that includes infectious diseases prevalent in West Africa. The role of the</w:t>
      </w:r>
      <w:r>
        <w:t xml:space="preserve"> </w:t>
      </w:r>
      <w:r>
        <w:t xml:space="preserve">Radiologist</w:t>
      </w:r>
      <w:r>
        <w:t xml:space="preserve"> </w:t>
      </w:r>
      <w:r>
        <w:t xml:space="preserve">extends beyond mere image interpretation; it involves contextualizing findings within the specific epidemiological landscape of</w:t>
      </w:r>
      <w:r>
        <w:t xml:space="preserve"> </w:t>
      </w:r>
      <w:r>
        <w:t xml:space="preserve">Ivory Coast Abidjan</w:t>
      </w:r>
      <w:r>
        <w:t xml:space="preserve"> </w:t>
      </w:r>
      <w:r>
        <w:t xml:space="preserve">to guide appropriate clinical decision-making. Early and accurate diagnosis is essential for improving patient outcomes in this setting.</w:t>
      </w:r>
    </w:p>
    <w:p>
      <w:pPr>
        <w:pStyle w:val="BodyText"/>
      </w:pPr>
      <w:r>
        <w:rPr>
          <w:bCs/>
          <w:b/>
        </w:rPr>
        <w:t xml:space="preserve">Signed:</w:t>
      </w:r>
    </w:p>
    <w:p>
      <w:pPr>
        <w:pStyle w:val="BodyText"/>
      </w:pPr>
      <w:r>
        <w:br/>
      </w:r>
      <w:r>
        <w:t xml:space="preserve">Dr. Emmanuel Bamba, MD, FRCR</w:t>
      </w:r>
      <w:r>
        <w:br/>
      </w:r>
    </w:p>
    <w:p>
      <w:pPr>
        <w:pStyle w:val="BodyText"/>
      </w:pPr>
      <w:r>
        <w:t xml:space="preserve">Title:</w:t>
      </w:r>
    </w:p>
    <w:p>
      <w:pPr>
        <w:pStyle w:val="BodyText"/>
      </w:pPr>
      <w:r>
        <w:t xml:space="preserve">Senior Consultant Radiologist</w:t>
      </w:r>
      <w:r>
        <w:br/>
      </w:r>
    </w:p>
    <w:p>
      <w:pPr>
        <w:pStyle w:val="BodyText"/>
      </w:pPr>
      <w:r>
        <w:t xml:space="preserve">Certification:</w:t>
      </w:r>
    </w:p>
    <w:p>
      <w:pPr>
        <w:pStyle w:val="BodyText"/>
      </w:pPr>
      <w:r>
        <w:t xml:space="preserve">HDR (Habilitation à Diriger des Recherches)</w:t>
      </w:r>
      <w:r>
        <w:br/>
      </w:r>
      <w:r>
        <w:t xml:space="preserve">This report is electronically signed and valid upon receipt.</w:t>
      </w:r>
      <w:r>
        <w:br/>
      </w:r>
      <w:r>
        <w:t xml:space="preserve">Contact: radiology@clinique-sj-abidjan.ci | +225 21 XX XX XX</w:t>
      </w:r>
      <w:r>
        <w:br/>
      </w:r>
      <w:r>
        <w:t xml:space="preserve">© 2023 Centre d’Imagerie Médicale Abidjan.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2026-07-29T00:59:27Z</dcterms:created>
  <dcterms:modified xsi:type="dcterms:W3CDTF">2026-07-29T00:59:27Z</dcterms:modified>
</cp:coreProperties>
</file>

<file path=docProps/custom.xml><?xml version="1.0" encoding="utf-8"?>
<Properties xmlns="http://schemas.openxmlformats.org/officeDocument/2006/custom-properties" xmlns:vt="http://schemas.openxmlformats.org/officeDocument/2006/docPropsVTypes"/>
</file>