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Analysis</w:t>
      </w:r>
      <w:r>
        <w:t xml:space="preserve"> </w:t>
      </w:r>
      <w:r>
        <w:t xml:space="preserve">in</w:t>
      </w:r>
      <w:r>
        <w:t xml:space="preserve"> </w:t>
      </w:r>
      <w:r>
        <w:t xml:space="preserve">Kenya</w:t>
      </w:r>
      <w:r>
        <w:t xml:space="preserve"> </w:t>
      </w:r>
      <w:r>
        <w:t xml:space="preserve">Nairobi</w:t>
      </w:r>
    </w:p>
    <w:bookmarkStart w:id="20" w:name="Xffa90d3b109eb06ed06cdf28f0c9a0221ecdc8a"/>
    <w:p>
      <w:pPr>
        <w:pStyle w:val="Heading1"/>
      </w:pPr>
      <w:r>
        <w:t xml:space="preserve">Clinical Diagnostic Imaging Laboratory Report</w:t>
      </w:r>
    </w:p>
    <w:p>
      <w:pPr>
        <w:pStyle w:val="FirstParagraph"/>
      </w:pPr>
      <w:r>
        <w:rPr>
          <w:bCs/>
          <w:b/>
        </w:rPr>
        <w:t xml:space="preserve">Institution:</w:t>
      </w:r>
      <w:r>
        <w:t xml:space="preserve"> </w:t>
      </w:r>
      <w:r>
        <w:t xml:space="preserve">Nairobi Central Diagnostic Imaging Center</w:t>
      </w:r>
      <w:r>
        <w:br/>
      </w:r>
      <w:r>
        <w:rPr>
          <w:bCs/>
          <w:b/>
        </w:rPr>
        <w:t xml:space="preserve">Date of Service:</w:t>
      </w:r>
      <w:r>
        <w:t xml:space="preserve"> </w:t>
      </w:r>
      <w:r>
        <w:t xml:space="preserve">October 24, 2023</w:t>
      </w:r>
      <w:r>
        <w:br/>
      </w:r>
      <w:r>
        <w:rPr>
          <w:bCs/>
          <w:b/>
        </w:rPr>
        <w:t xml:space="preserve">Patient ID:</w:t>
      </w:r>
    </w:p>
    <w:p>
      <w:pPr>
        <w:pStyle w:val="BodyText"/>
      </w:pPr>
      <w:r>
        <w:t xml:space="preserve">Patient Name:** John Doe (Anonymized for Privacy)</w:t>
      </w:r>
      <w:r>
        <w:br/>
      </w:r>
    </w:p>
    <w:p>
      <w:pPr>
        <w:pStyle w:val="BodyText"/>
      </w:pPr>
      <w:r>
        <w:t xml:space="preserve">Referring Physician:** Dr. Jane Smith, General Medicine, Kenyatta National Hospital</w:t>
      </w:r>
    </w:p>
    <w:bookmarkEnd w:id="20"/>
    <w:bookmarkStart w:id="21" w:name="executive-summary-and-clinical-context"/>
    <w:p>
      <w:pPr>
        <w:pStyle w:val="Heading2"/>
      </w:pPr>
      <w:r>
        <w:t xml:space="preserve">1. Executive Summary and Clinical Context</w:t>
      </w:r>
    </w:p>
    <w:p>
      <w:pPr>
        <w:pStyle w:val="FirstParagraph"/>
      </w:pPr>
      <w:r>
        <w:t xml:space="preserve">The purpose of this document is to detail the findings from a comprehensive diagnostic imaging procedure conducted within the metropolitan healthcare infrastructure of Kenya Nairobi. This Lab Report serves as an official record for the consulting Radiologist, detailing specific anomalies observed through advanced modalities such as Computed Tomography (CT) and Magnetic Resonance Imaging (MRI). The scope of this evaluation is strictly confined to the anatomical regions specified by the referring physician, with particular attention paid to pathologies prevalent in urban centers like Kenya Nairobi.</w:t>
      </w:r>
      <w:r>
        <w:t xml:space="preserve"> </w:t>
      </w:r>
      <w:r>
        <w:t xml:space="preserve">In recent years, the medical landscape in Kenya has evolved significantly. The concentration of specialized diagnostic tools in major hubs such as Kenya Nairobi has allowed for earlier detection and more precise management of both infectious diseases and non-communicable conditions. This report highlights the critical role that a qualified Radiologist plays in this ecosystem, interpreting complex visual data to guide clinical decision-making processes that ultimately affect patient outcomes across the region.</w:t>
      </w:r>
    </w:p>
    <w:bookmarkEnd w:id="21"/>
    <w:bookmarkStart w:id="22" w:name="examination-details"/>
    <w:p>
      <w:pPr>
        <w:pStyle w:val="Heading2"/>
      </w:pPr>
      <w:r>
        <w:t xml:space="preserve">2. Examination Details</w:t>
      </w:r>
    </w:p>
    <w:p>
      <w:pPr>
        <w:pStyle w:val="FirstParagraph"/>
      </w:pPr>
      <w:r>
        <w:rPr>
          <w:bCs/>
          <w:b/>
        </w:rPr>
        <w:t xml:space="preserve">Procedure Performed:</w:t>
      </w:r>
      <w:r>
        <w:br/>
      </w:r>
      <w:r>
        <w:t xml:space="preserve">Multi-phase Contrast-Enhanced CT of the Abdomen and Pelvis.</w:t>
      </w:r>
      <w:r>
        <w:br/>
      </w:r>
      <w:r>
        <w:br/>
      </w:r>
      <w:r>
        <w:rPr>
          <w:bCs/>
          <w:b/>
        </w:rPr>
        <w:t xml:space="preserve">Clinical Indications:</w:t>
      </w:r>
      <w:r>
        <w:br/>
      </w:r>
      <w:r>
        <w:t xml:space="preserve">The patient presented with acute right upper quadrant abdominal pain, fever, and elevated liver enzymes. Given the epidemiological context of Kenya Nairobi, where hepatobiliary disorders and certain infectious etiologies are common differential diagnoses for such symptoms, a detailed anatomical survey was deemed necessary.</w:t>
      </w:r>
      <w:r>
        <w:br/>
      </w:r>
      <w:r>
        <w:br/>
      </w:r>
      <w:r>
        <w:rPr>
          <w:bCs/>
          <w:b/>
        </w:rPr>
        <w:t xml:space="preserve">Technical Parameters:</w:t>
      </w:r>
      <w:r>
        <w:br/>
      </w:r>
      <w:r>
        <w:t xml:space="preserve">Imaging was performed using a 64-slice multidetector CT scanner. Intravenous contrast (Iohexol) was administered to enhance vascular structures and organ parenchyma. Coronal, sagittal, and axial reconstructions were generated for thorough analysis by the assigned Radiologist.</w:t>
      </w:r>
      <w:r>
        <w:br/>
      </w:r>
      <w:r>
        <w:br/>
      </w:r>
    </w:p>
    <w:bookmarkEnd w:id="22"/>
    <w:bookmarkStart w:id="23" w:name="findings"/>
    <w:p>
      <w:pPr>
        <w:pStyle w:val="Heading2"/>
      </w:pPr>
      <w:r>
        <w:t xml:space="preserve">3. Findings</w:t>
      </w:r>
    </w:p>
    <w:p>
      <w:pPr>
        <w:pStyle w:val="FirstParagraph"/>
      </w:pPr>
      <w:r>
        <w:rPr>
          <w:bCs/>
          <w:b/>
        </w:rPr>
        <w:t xml:space="preserve">Absence of Acute Trauma:</w:t>
      </w:r>
      <w:r>
        <w:br/>
      </w:r>
      <w:r>
        <w:t xml:space="preserve">There is no evidence of free fluid, solid organ laceration, or retroperitoneal hematoma. The bony structures of the lumbar spine and pelvis show no signs of acute fracture or destructive lesions.</w:t>
      </w:r>
      <w:r>
        <w:br/>
      </w:r>
      <w:r>
        <w:br/>
      </w:r>
      <w:r>
        <w:rPr>
          <w:bCs/>
          <w:b/>
        </w:rPr>
        <w:t xml:space="preserve">Hepatic Analysis:</w:t>
      </w:r>
      <w:r>
        <w:br/>
      </w:r>
      <w:r>
        <w:t xml:space="preserve">The liver demonstrates homogeneous attenuation in the non-contrast phase. During the portal venous phase, a focal hypodense lesion measuring approximately 2.5 cm x 3.0 cm is noted in segment VII of the right lobe. The lesion exhibits peripheral rim enhancement with central low attenuation, suggestive of an abscess or necrotic neoplasm.</w:t>
      </w:r>
      <w:r>
        <w:br/>
      </w:r>
      <w:r>
        <w:br/>
      </w:r>
      <w:r>
        <w:rPr>
          <w:bCs/>
          <w:b/>
        </w:rPr>
        <w:t xml:space="preserve">Biliary System:</w:t>
      </w:r>
      <w:r>
        <w:br/>
      </w:r>
      <w:r>
        <w:t xml:space="preserve">Intrahepatic bile ducts are mildly dilated. The common bile duct measures 8mm in diameter, which is at the upper limit of normal. No obvious calculi are visualized within the gallbladder or extrahepatic biliary tree, although small cholesterol sludge is present.</w:t>
      </w:r>
      <w:r>
        <w:br/>
      </w:r>
      <w:r>
        <w:br/>
      </w:r>
      <w:r>
        <w:rPr>
          <w:bCs/>
          <w:b/>
        </w:rPr>
        <w:t xml:space="preserve">Renal and Urinary Tract:</w:t>
      </w:r>
      <w:r>
        <w:br/>
      </w:r>
      <w:r>
        <w:t xml:space="preserve">Both kidneys show normal size and enhancement. There is no hydronephrosis. The bladder appears unremarkable with thin walls.</w:t>
      </w:r>
      <w:r>
        <w:br/>
      </w:r>
      <w:r>
        <w:br/>
      </w:r>
    </w:p>
    <w:bookmarkEnd w:id="23"/>
    <w:bookmarkStart w:id="24" w:name="radiologists-interpretation-and-analysis"/>
    <w:p>
      <w:pPr>
        <w:pStyle w:val="Heading2"/>
      </w:pPr>
      <w:r>
        <w:t xml:space="preserve">4. Radiologist’s Interpretation and Analysis</w:t>
      </w:r>
    </w:p>
    <w:p>
      <w:pPr>
        <w:pStyle w:val="FirstParagraph"/>
      </w:pPr>
      <w:r>
        <w:t xml:space="preserve">The interpretation of these images was conducted by a Board-Certified Radiologist specializing in abdominal imaging, operating within the diagnostic framework established for high-volume centers in Kenya Nairobi.</w:t>
      </w:r>
      <w:r>
        <w:t xml:space="preserve"> </w:t>
      </w:r>
      <w:r>
        <w:t xml:space="preserve">The primary finding of interest is the hepatic lesion described above. In the context of local epidemiology, differential diagnoses must include pyogenic liver abscesses, which are not uncommon in developing urban environments due to varying standards of sanitation and access to clean water, as well as amebic etiologies. However, given the patient’s demographic profile and lack of specific travel history outside Kenya Nairobi recently, a bacterial origin is statistically more probable.</w:t>
      </w:r>
      <w:r>
        <w:t xml:space="preserve"> </w:t>
      </w:r>
      <w:r>
        <w:t xml:space="preserve">Furthermore, the possibility of metastatic disease cannot be entirely ruled out without further histological correlation or PET-CT imaging. The mild biliary dilation suggests a possible obstructive component distal to the liver hilum, potentially caused by inflammation from adjacent structures or early-stage cholangitis.</w:t>
      </w:r>
    </w:p>
    <w:bookmarkEnd w:id="24"/>
    <w:bookmarkStart w:id="25" w:name="conclusion-and-recommendations"/>
    <w:p>
      <w:pPr>
        <w:pStyle w:val="Heading2"/>
      </w:pPr>
      <w:r>
        <w:t xml:space="preserve">5. Conclusion and Recommendations</w:t>
      </w:r>
    </w:p>
    <w:p>
      <w:pPr>
        <w:pStyle w:val="FirstParagraph"/>
      </w:pPr>
      <w:r>
        <w:t xml:space="preserve">Based on the radiological evidence reviewed, the following conclusions are drawn:</w:t>
      </w:r>
      <w:r>
        <w:t xml:space="preserve"> </w:t>
      </w:r>
      <w:r>
        <w:t xml:space="preserve">1. Focal hepatic lesion in Segment VII with characteristics suggestive of a liver abscess (pyogenic vs. amebic).</w:t>
      </w:r>
      <w:r>
        <w:t xml:space="preserve"> </w:t>
      </w:r>
      <w:r>
        <w:t xml:space="preserve">2. Mild extrahepatic biliary ductal dilation without definitive visible stone.</w:t>
      </w:r>
      <w:r>
        <w:t xml:space="preserve"> </w:t>
      </w:r>
      <w:r>
        <w:t xml:space="preserve">3. No evidence of acute surgical emergency such as perforation or rupture.</w:t>
      </w:r>
      <w:r>
        <w:br/>
      </w:r>
      <w:r>
        <w:rPr>
          <w:bCs/>
          <w:b/>
        </w:rPr>
        <w:t xml:space="preserve">Recommendations:</w:t>
      </w:r>
      <w:r>
        <w:br/>
      </w:r>
      <w:r>
        <w:t xml:space="preserve">Immediate consultation with an infectious disease specialist to initiate empiric antibiotic therapy covering gram-negative organisms and anaerobes, pending culture results.</w:t>
      </w:r>
      <w:r>
        <w:br/>
      </w:r>
      <w:r>
        <w:t xml:space="preserve">Ultrasound-guided aspiration of the hepatic lesion for microbiological culture and cytology is strongly advised to differentiate between infectious abscess and neoplastic processes.</w:t>
      </w:r>
      <w:r>
        <w:br/>
      </w:r>
      <w:r>
        <w:t xml:space="preserve">Follow-up imaging in 4-6 weeks to assess response to treatment.</w:t>
      </w:r>
      <w:r>
        <w:br/>
      </w:r>
    </w:p>
    <w:bookmarkEnd w:id="25"/>
    <w:bookmarkStart w:id="26" w:name="X6c716b438e126f93e3bf49e2076a54aa53fdb77"/>
    <w:p>
      <w:pPr>
        <w:pStyle w:val="Heading2"/>
      </w:pPr>
      <w:r>
        <w:t xml:space="preserve">6. Significance of the Radiologist Role in Kenya Nairobi</w:t>
      </w:r>
    </w:p>
    <w:p>
      <w:pPr>
        <w:pStyle w:val="FirstParagraph"/>
      </w:pPr>
      <w:r>
        <w:t xml:space="preserve">This Lab Report underscores the indispensable nature of expert radiological interpretation in modern healthcare systems. In a bustling metropolis like Kenya Nairobi, where patient loads are high and diagnostic accuracy is paramount, the Radiologist acts as a crucial bridge between raw imaging data and therapeutic intervention.</w:t>
      </w:r>
      <w:r>
        <w:t xml:space="preserve"> </w:t>
      </w:r>
      <w:r>
        <w:t xml:space="preserve">The ability to distinguish between benign anomalies and life-threatening pathologies directly influences hospital resource allocation and patient prognosis. For instance, correctly identifying the hepatic lesion in this report prevents unnecessary laparotomies while ensuring that appropriate antimicrobial or interventional radiology procedures are initiated promptly.</w:t>
      </w:r>
      <w:r>
        <w:t xml:space="preserve"> </w:t>
      </w:r>
      <w:r>
        <w:t xml:space="preserve">Moreover, as Kenya Nairobi continues to develop its healthcare infrastructure, the standard of reporting must adhere to international benchmarks while remaining attuned to local disease patterns. This report serves as an example of how standardized terminology and rigorous analytical frameworks enable seamless collaboration between referring physicians in general hospitals and specialist Radiologists in diagnostic centers across the city.</w:t>
      </w:r>
      <w:r>
        <w:br/>
      </w:r>
    </w:p>
    <w:p>
      <w:pPr>
        <w:pStyle w:val="BodyText"/>
      </w:pPr>
      <w:r>
        <w:rPr>
          <w:bCs/>
          <w:b/>
        </w:rPr>
        <w:t xml:space="preserve">Authorized by:</w:t>
      </w:r>
      <w:r>
        <w:br/>
      </w:r>
      <w:r>
        <w:t xml:space="preserve">Sarah Ochieng, M.D., FRCR</w:t>
      </w:r>
      <w:r>
        <w:br/>
      </w:r>
      <w:r>
        <w:t xml:space="preserve">Senior Consultant Radiologist</w:t>
      </w:r>
      <w:r>
        <w:br/>
      </w:r>
      <w:r>
        <w:t xml:space="preserve">Nairobi Central Diagnostic Imaging Center</w:t>
      </w:r>
      <w:r>
        <w:br/>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Analysis in Kenya Nairobi</dc:title>
  <dc:creator/>
  <dc:language>en</dc:language>
  <cp:keywords/>
  <dcterms:created xsi:type="dcterms:W3CDTF">2026-07-30T03:58:56Z</dcterms:created>
  <dcterms:modified xsi:type="dcterms:W3CDTF">2026-07-30T03:58:56Z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