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Diagnostic</w:t>
      </w:r>
      <w:r>
        <w:t xml:space="preserve"> </w:t>
      </w:r>
      <w:r>
        <w:t xml:space="preserve">Assessment</w:t>
      </w:r>
      <w:r>
        <w:t xml:space="preserve"> </w:t>
      </w:r>
      <w:r>
        <w:t xml:space="preserve">and</w:t>
      </w:r>
      <w:r>
        <w:t xml:space="preserve"> </w:t>
      </w:r>
      <w:r>
        <w:t xml:space="preserve">Clinical</w:t>
      </w:r>
      <w:r>
        <w:t xml:space="preserve"> </w:t>
      </w:r>
      <w:r>
        <w:t xml:space="preserve">Evaluation</w:t>
      </w:r>
      <w:r>
        <w:t xml:space="preserve"> </w:t>
      </w:r>
      <w:r>
        <w:t xml:space="preserve">Report</w:t>
      </w:r>
    </w:p>
    <w:p>
      <w:pPr>
        <w:pStyle w:val="FirstParagraph"/>
      </w:pPr>
      <w:r>
        <w:t xml:space="preserve">DATE: October 24, 2023</w:t>
      </w:r>
      <w:r>
        <w:br/>
      </w:r>
      <w:r>
        <w:t xml:space="preserve">REFERENCE ID: RAD-LA-9981-AZ</w:t>
      </w:r>
      <w:r>
        <w:br/>
      </w:r>
      <w:r>
        <w:t xml:space="preserve">FACILITY: Advanced Diagnostics Center of Los Angeles</w:t>
      </w:r>
    </w:p>
    <w:bookmarkStart w:id="25" w:name="X7072f4d4b1d0168b49ecd30c94f533754e04594"/>
    <w:p>
      <w:pPr>
        <w:pStyle w:val="Heading1"/>
      </w:pPr>
      <w:r>
        <w:t xml:space="preserve">Clinical Laboratory Report &amp; Radiological Assessment</w:t>
      </w:r>
    </w:p>
    <w:p>
      <w:pPr>
        <w:pStyle w:val="FirstParagraph"/>
      </w:pPr>
      <w:r>
        <w:t xml:space="preserve">PATIENT NAME: [Redacted for Privacy]</w:t>
      </w:r>
      <w:r>
        <w:br/>
      </w:r>
      <w:r>
        <w:t xml:space="preserve">MRN (Medical Record Number): 554-992-XJ</w:t>
      </w:r>
      <w:r>
        <w:br/>
      </w:r>
      <w:r>
        <w:t xml:space="preserve">DOB: March 14, 1978</w:t>
      </w:r>
      <w:r>
        <w:br/>
      </w:r>
      <w:r>
        <w:t xml:space="preserve">SEX: Male</w:t>
      </w:r>
    </w:p>
    <w:bookmarkStart w:id="20" w:name="introduction-and-clinical-context"/>
    <w:p>
      <w:pPr>
        <w:pStyle w:val="Heading3"/>
      </w:pPr>
      <w:r>
        <w:t xml:space="preserve">Introduction and Clinical Context</w:t>
      </w:r>
    </w:p>
    <w:p>
      <w:pPr>
        <w:pStyle w:val="FirstParagraph"/>
      </w:pPr>
      <w:r>
        <w:t xml:space="preserve">This comprehensive Laboratory Report serves as an official diagnostic record generated following a rigorous radiological evaluation conducted within the healthcare infrastructure of the United States, specifically in Los Angeles. The integration of precise laboratory data with advanced imaging modalities is critical for establishing an accurate medical diagnosis. As a Radiologist operating in this high-density metropolitan region, it is imperative that every finding documented herein adheres to the strict regulatory standards mandated by federal and state health authorities.</w:t>
      </w:r>
    </w:p>
    <w:p>
      <w:pPr>
        <w:pStyle w:val="BodyText"/>
      </w:pPr>
      <w:r>
        <w:t xml:space="preserve">The city of Los Angeles represents a unique epidemiological landscape. The diverse population and environmental factors present in the United States, particularly in major hubs like Los Angeles, necessitate a highly nuanced approach to medical diagnostics. This report details the findings from both biochemical laboratory assays and high-resolution radiographic imaging provided by our specialized team of Radiologists. The synergy between these two diagnostic pillars allows for a holistic assessment of the patient's condition.</w:t>
      </w:r>
    </w:p>
    <w:bookmarkEnd w:id="20"/>
    <w:bookmarkStart w:id="21" w:name="laboratory-analysis-results"/>
    <w:p>
      <w:pPr>
        <w:pStyle w:val="Heading3"/>
      </w:pPr>
      <w:r>
        <w:t xml:space="preserve">Laboratory Analysis Results</w:t>
      </w:r>
    </w:p>
    <w:p>
      <w:pPr>
        <w:pStyle w:val="FirstParagraph"/>
      </w:pPr>
      <w:r>
        <w:t xml:space="preserve">Blood and tissue samples were collected at our primary laboratory facility in Los Angeles. The results have been meticulously analyzed by our clinical pathologists. Key findings include the following:</w:t>
      </w:r>
    </w:p>
    <w:p>
      <w:pPr>
        <w:numPr>
          <w:ilvl w:val="0"/>
          <w:numId w:val="1001"/>
        </w:numPr>
        <w:pStyle w:val="Compact"/>
      </w:pPr>
      <w:r>
        <w:rPr>
          <w:bCs/>
          <w:b/>
        </w:rPr>
        <w:t xml:space="preserve">Hematology Panel:</w:t>
      </w:r>
      <w:r>
        <w:t xml:space="preserve"> </w:t>
      </w:r>
      <w:r>
        <w:t xml:space="preserve">Complete Blood Count (CBC) indicates a mild leukocytosis, suggesting an active inflammatory or infectious process within the body.</w:t>
      </w:r>
    </w:p>
    <w:p>
      <w:pPr>
        <w:numPr>
          <w:ilvl w:val="0"/>
          <w:numId w:val="1001"/>
        </w:numPr>
        <w:pStyle w:val="Compact"/>
      </w:pPr>
      <w:r>
        <w:rPr>
          <w:bCs/>
          <w:b/>
        </w:rPr>
        <w:t xml:space="preserve">Biochemistry Profile:</w:t>
      </w:r>
      <w:r>
        <w:t xml:space="preserve">Elevated levels of C-Reactive Protein (CRP) have been noted. This biochemical marker is highly significant as it correlates with systemic inflammation, providing context for subsequent imaging interpretations.</w:t>
      </w:r>
    </w:p>
    <w:p>
      <w:pPr>
        <w:numPr>
          <w:ilvl w:val="0"/>
          <w:numId w:val="1001"/>
        </w:numPr>
        <w:pStyle w:val="Compact"/>
      </w:pPr>
      <w:r>
        <w:rPr>
          <w:bCs/>
          <w:b/>
        </w:rPr>
        <w:t xml:space="preserve">Tumor Markers:</w:t>
      </w:r>
      <w:r>
        <w:t xml:space="preserve">All primary tumor markers, including CA-125 and AFP, are within the normal reference ranges established by laboratories accredited in the United States. This negative finding helps to narrow the differential diagnosis significantly.</w:t>
      </w:r>
    </w:p>
    <w:p>
      <w:pPr>
        <w:pStyle w:val="FirstParagraph"/>
      </w:pPr>
      <w:r>
        <w:t xml:space="preserve">These laboratory values provide a foundational layer of evidence. They guide the Radiologist in focusing on specific anatomical regions that may harbor pathology consistent with an inflammatory or infectious etiology, rather than purely neoplastic processes.</w:t>
      </w:r>
    </w:p>
    <w:bookmarkEnd w:id="21"/>
    <w:bookmarkStart w:id="22" w:name="radiological-imaging-findings"/>
    <w:p>
      <w:pPr>
        <w:pStyle w:val="Heading3"/>
      </w:pPr>
      <w:r>
        <w:t xml:space="preserve">Radiological Imaging Findings</w:t>
      </w:r>
    </w:p>
    <w:p>
      <w:pPr>
        <w:pStyle w:val="FirstParagraph"/>
      </w:pPr>
      <w:r>
        <w:t xml:space="preserve">In conjunction with the laboratory results, a comprehensive radiological examination was performed. As a Radiologist, I have reviewed the following imaging modalities acquired at our Los Angeles diagnostic center:</w:t>
      </w:r>
    </w:p>
    <w:p>
      <w:pPr>
        <w:pStyle w:val="BodyText"/>
      </w:pPr>
      <w:r>
        <w:rPr>
          <w:bCs/>
          <w:b/>
        </w:rPr>
        <w:t xml:space="preserve">Magnetic Resonance Imaging (MRI) of the Abdomen and Pelvis:</w:t>
      </w:r>
    </w:p>
    <w:p>
      <w:pPr>
        <w:numPr>
          <w:ilvl w:val="0"/>
          <w:numId w:val="1002"/>
        </w:numPr>
        <w:pStyle w:val="Compact"/>
      </w:pPr>
      <w:r>
        <w:t xml:space="preserve">The MRI images reveal significant thickening of the bowel wall in the distal ileum. The signal intensity on T2-weighted images is hyperintense, which is characteristic of active edema and inflammation.</w:t>
      </w:r>
    </w:p>
    <w:p>
      <w:pPr>
        <w:numPr>
          <w:ilvl w:val="0"/>
          <w:numId w:val="1002"/>
        </w:numPr>
        <w:pStyle w:val="Compact"/>
      </w:pPr>
      <w:r>
        <w:t xml:space="preserve">No mass lesions or abscess collections are identified within the abdominal cavity. This absence is crucial for ruling out advanced malignancy or acute perforation scenarios that might require immediate surgical intervention in the United States healthcare system.</w:t>
      </w:r>
    </w:p>
    <w:p>
      <w:pPr>
        <w:pStyle w:val="FirstParagraph"/>
      </w:pPr>
      <w:r>
        <w:rPr>
          <w:bCs/>
          <w:b/>
        </w:rPr>
        <w:t xml:space="preserve">X-Ray Thorax:</w:t>
      </w:r>
    </w:p>
    <w:p>
      <w:pPr>
        <w:numPr>
          <w:ilvl w:val="0"/>
          <w:numId w:val="1003"/>
        </w:numPr>
        <w:pStyle w:val="Compact"/>
      </w:pPr>
      <w:r>
        <w:t xml:space="preserve">The chest radiograph is unremarkable. The lung fields are clear, and the cardiac silhouette is within normal limits for size. This finding helps exclude pulmonary causes for any systemic symptoms the patient may be experiencing.</w:t>
      </w:r>
    </w:p>
    <w:p>
      <w:pPr>
        <w:pStyle w:val="FirstParagraph"/>
      </w:pPr>
      <w:r>
        <w:t xml:space="preserve">The Radiologist’s interpretation emphasizes that while the laboratory results point toward inflammation, the imaging confirms a localized gastrointestinal origin. The combination of these findings is highly suggestive of an inflammatory bowel condition, such as Crohn's disease, which is increasingly prevalent in urban centers like Los Angeles.</w:t>
      </w:r>
    </w:p>
    <w:bookmarkEnd w:id="22"/>
    <w:bookmarkStart w:id="23" w:name="synthesis-and-conclusion"/>
    <w:p>
      <w:pPr>
        <w:pStyle w:val="Heading3"/>
      </w:pPr>
      <w:r>
        <w:t xml:space="preserve">Synthesis and Conclusion</w:t>
      </w:r>
    </w:p>
    <w:p>
      <w:pPr>
        <w:pStyle w:val="FirstParagraph"/>
      </w:pPr>
      <w:r>
        <w:t xml:space="preserve">This Laboratory Report synthesizes data from multiple disciplines to provide a coherent clinical picture. The elevated CRP and leukocytosis observed in the laboratory tests align perfectly with the bowel wall thickening visualized by the Radiologist on MRI. This concordance between biochemical markers and anatomical imaging is a hallmark of rigorous diagnostic practice in Los Angeles.</w:t>
      </w:r>
    </w:p>
    <w:p>
      <w:pPr>
        <w:pStyle w:val="BodyText"/>
      </w:pPr>
      <w:r>
        <w:t xml:space="preserve">It is important to note that as a Radiologist working in Los Angeles, one must consider not only biological factors but also access to care and follow-up capabilities. The recommendations provided here are designed to facilitate seamless transitions between emergency care, outpatient diagnostics, and specialist referrals within the United States healthcare network.</w:t>
      </w:r>
    </w:p>
    <w:p>
      <w:pPr>
        <w:pStyle w:val="BodyText"/>
      </w:pPr>
      <w:r>
        <w:t xml:space="preserve">The final impression is that the patient is suffering from active gastrointestinal inflammation. The negative tumor markers allow for a more urgent focus on anti-inflammatory treatment protocols rather than oncological screening at this stage. Continued monitoring via follow-up imaging may be required in six months to assess response to therapy.</w:t>
      </w:r>
    </w:p>
    <w:bookmarkEnd w:id="23"/>
    <w:bookmarkStart w:id="24" w:name="clinical-recommendations"/>
    <w:p>
      <w:pPr>
        <w:pStyle w:val="Heading3"/>
      </w:pPr>
      <w:r>
        <w:t xml:space="preserve">Clinical Recommendations</w:t>
      </w:r>
    </w:p>
    <w:p>
      <w:pPr>
        <w:numPr>
          <w:ilvl w:val="0"/>
          <w:numId w:val="1004"/>
        </w:numPr>
        <w:pStyle w:val="Compact"/>
      </w:pPr>
      <w:r>
        <w:rPr>
          <w:bCs/>
          <w:b/>
        </w:rPr>
        <w:t xml:space="preserve">Gastroenterology Consultation:</w:t>
      </w:r>
      <w:r>
        <w:t xml:space="preserve">A referral should be made immediately for an endoscopic evaluation to visualize the intestinal mucosa directly.</w:t>
      </w:r>
    </w:p>
    <w:p>
      <w:pPr>
        <w:numPr>
          <w:ilvl w:val="0"/>
          <w:numId w:val="1004"/>
        </w:numPr>
        <w:pStyle w:val="Compact"/>
      </w:pPr>
      <w:r>
        <w:rPr>
          <w:bCs/>
          <w:b/>
        </w:rPr>
        <w:t xml:space="preserve">Laboratory Monitoring:</w:t>
      </w:r>
      <w:r>
        <w:t xml:space="preserve"> </w:t>
      </w:r>
      <w:r>
        <w:t xml:space="preserve">Repeat CRP and CBC levels should be checked in four weeks to monitor the efficacy of any initiated anti-inflammatory treatments.</w:t>
      </w:r>
    </w:p>
    <w:p>
      <w:pPr>
        <w:numPr>
          <w:ilvl w:val="0"/>
          <w:numId w:val="1004"/>
        </w:numPr>
        <w:pStyle w:val="Compact"/>
      </w:pPr>
      <w:r>
        <w:rPr>
          <w:bCs/>
          <w:b/>
        </w:rPr>
        <w:t xml:space="preserve">Patient Education:</w:t>
      </w:r>
      <w:r>
        <w:t xml:space="preserve">The patient has been counseled on the importance of dietary modifications that support gastrointestinal health, a crucial aspect of management for residents in Los Angeles with high-stress lifestyles.</w:t>
      </w:r>
    </w:p>
    <w:bookmarkEnd w:id="24"/>
    <w:p>
      <w:pPr>
        <w:pStyle w:val="FirstParagraph"/>
      </w:pPr>
      <w:r>
        <w:rPr>
          <w:bCs/>
          <w:b/>
        </w:rPr>
        <w:t xml:space="preserve">Signed:</w:t>
      </w:r>
    </w:p>
    <w:p>
      <w:pPr>
        <w:pStyle w:val="BodyText"/>
      </w:pPr>
      <w:r>
        <w:t xml:space="preserve">Jane Doe, MD, PhD</w:t>
      </w:r>
    </w:p>
    <w:p>
      <w:pPr>
        <w:pStyle w:val="BodyText"/>
      </w:pPr>
      <w:r>
        <w:t xml:space="preserve">Diplomate, American Board of Radiology</w:t>
      </w:r>
    </w:p>
    <w:p>
      <w:pPr>
        <w:pStyle w:val="BodyText"/>
      </w:pPr>
      <w:r>
        <w:t xml:space="preserve">Radiologist | Advanced Diagnostics Center of Los Angeles</w:t>
      </w:r>
    </w:p>
    <w:p>
      <w:pPr>
        <w:pStyle w:val="BodyText"/>
      </w:pPr>
      <w:r>
        <w:t xml:space="preserve">This document constitutes a protected health information (PHI) record under HIPAA regulations applicable in the United States. Any unauthorized use or distribution of this Laboratory Report is strictly prohibited. For questions regarding these Radiological findings, please contact the department directly in Los Angeles.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Diagnostic Assessment and Clinical Evaluation Report</dc:title>
  <dc:creator/>
  <dc:language>en</dc:language>
  <cp:keywords/>
  <dcterms:created xsi:type="dcterms:W3CDTF">2026-07-29T19:35:08Z</dcterms:created>
  <dcterms:modified xsi:type="dcterms:W3CDTF">2026-07-29T19:35:08Z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