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Radiological</w:t>
      </w:r>
      <w:r>
        <w:t xml:space="preserve"> </w:t>
      </w:r>
      <w:r>
        <w:t xml:space="preserve">Diagnostic</w:t>
      </w:r>
      <w:r>
        <w:t xml:space="preserve"> </w:t>
      </w:r>
      <w:r>
        <w:t xml:space="preserve">Assessment:</w:t>
      </w:r>
      <w:r>
        <w:t xml:space="preserve"> </w:t>
      </w:r>
      <w:r>
        <w:t xml:space="preserve">Comprehensive</w:t>
      </w:r>
      <w:r>
        <w:t xml:space="preserve"> </w:t>
      </w:r>
      <w:r>
        <w:t xml:space="preserve">Lab</w:t>
      </w:r>
      <w:r>
        <w:t xml:space="preserve"> </w:t>
      </w:r>
      <w:r>
        <w:t xml:space="preserve">Report</w:t>
      </w:r>
    </w:p>
    <w:bookmarkStart w:id="30" w:name="Xe863d29f13b2668de89cdf5018ae4fe023a553c"/>
    <w:p>
      <w:pPr>
        <w:pStyle w:val="Heading1"/>
      </w:pPr>
      <w:r>
        <w:t xml:space="preserve">Radiological Diagnostic Assessment Report</w:t>
      </w:r>
    </w:p>
    <w:p>
      <w:pPr>
        <w:pStyle w:val="FirstParagraph"/>
      </w:pPr>
      <w:r>
        <w:t xml:space="preserve">Patient Information and Administrative Data</w:t>
      </w:r>
    </w:p>
    <w:p>
      <w:pPr>
        <w:pStyle w:val="BodyText"/>
      </w:pPr>
      <w:r>
        <w:rPr>
          <w:bCs/>
          <w:b/>
        </w:rPr>
        <w:t xml:space="preserve">Date of Service:</w:t>
      </w:r>
      <w:r>
        <w:t xml:space="preserve"> </w:t>
      </w:r>
      <w:r>
        <w:t xml:space="preserve">October 24, 2023</w:t>
      </w:r>
      <w:r>
        <w:br/>
      </w:r>
      <w:r>
        <w:rPr>
          <w:bCs/>
          <w:b/>
        </w:rPr>
        <w:t xml:space="preserve">Patient Name:</w:t>
      </w:r>
      <w:r>
        <w:t xml:space="preserve"> </w:t>
      </w:r>
      <w:r>
        <w:t xml:space="preserve">[Redacted for Privacy]</w:t>
      </w:r>
      <w:r>
        <w:br/>
      </w:r>
      <w:r>
        <w:rPr>
          <w:bCs/>
          <w:b/>
        </w:rPr>
        <w:t xml:space="preserve">Date of Birth:</w:t>
      </w:r>
      <w:r>
        <w:t xml:space="preserve"> </w:t>
      </w:r>
      <w:r>
        <w:t xml:space="preserve">May 12, 1978</w:t>
      </w:r>
      <w:r>
        <w:br/>
      </w:r>
      <w:r>
        <w:rPr>
          <w:bCs/>
          <w:b/>
        </w:rPr>
        <w:t xml:space="preserve">MRN (Medical Record Number):</w:t>
      </w:r>
      <w:r>
        <w:t xml:space="preserve"> </w:t>
      </w:r>
      <w:r>
        <w:t xml:space="preserve">US-MIA-994820</w:t>
      </w:r>
      <w:r>
        <w:br/>
      </w:r>
      <w:r>
        <w:rPr>
          <w:bCs/>
          <w:b/>
        </w:rPr>
        <w:t xml:space="preserve">Facility Location:</w:t>
      </w:r>
      <w:r>
        <w:t xml:space="preserve"> </w:t>
      </w:r>
      <w:r>
        <w:t xml:space="preserve">United States Miami, FL</w:t>
      </w:r>
      <w:r>
        <w:br/>
      </w:r>
      <w:r>
        <w:rPr>
          <w:bCs/>
          <w:b/>
        </w:rPr>
        <w:t xml:space="preserve">Referring Physician:</w:t>
      </w:r>
      <w:r>
        <w:t xml:space="preserve"> </w:t>
      </w:r>
      <w:r>
        <w:t xml:space="preserve">Dr. A. Hernandez, Internal Medicine</w:t>
      </w:r>
    </w:p>
    <w:p>
      <w:pPr>
        <w:pStyle w:val="BodyText"/>
      </w:pPr>
      <w:r>
        <w:t xml:space="preserve">This document serves as the formalized output of a comprehensive diagnostic imaging evaluation conducted within the healthcare infrastructure of the United States Miami metropolitan area. The primary objective of this report is to detail findings derived from advanced radiological modalities, ensuring that all stakeholders adhere to the rigorous standards expected in high-volume, technologically advanced medical centers located in South Florida.</w:t>
      </w:r>
    </w:p>
    <w:bookmarkStart w:id="20" w:name="Xe500e4232b61b8335646b6dc000d99edc5e0930"/>
    <w:p>
      <w:pPr>
        <w:pStyle w:val="Heading2"/>
      </w:pPr>
      <w:r>
        <w:t xml:space="preserve">I. Executive Summary and Clinical Context</w:t>
      </w:r>
    </w:p>
    <w:p>
      <w:pPr>
        <w:pStyle w:val="FirstParagraph"/>
      </w:pPr>
      <w:r>
        <w:t xml:space="preserve">The integration of state-of-the-art imaging technology with specialized interpretation is critical for accurate diagnosis in contemporary medicine. This Lab Report has been generated under the strict oversight of a board-certified Radiologist, whose expertise ensures that every pixel and signal intensity is analyzed against current clinical guidelines. The patient presented to the facility in United States Miami with complaints of persistent abdominal discomfort and unexplained weight loss over a four-week period. Initial physical examinations and basic laboratory blood work revealed elevated liver enzymes, prompting the need for cross-sectional imaging to rule out hepatobiliary pathology.</w:t>
      </w:r>
    </w:p>
    <w:p>
      <w:pPr>
        <w:pStyle w:val="BodyText"/>
      </w:pPr>
      <w:r>
        <w:t xml:space="preserve">The decision to proceed with Magnetic Resonance Imaging (MRI) was made in accordance with standard of care protocols utilized by major medical centers in the United States Miami region. The clinical query posed to the Radiologist was specific: "Evaluate for focal hepatic lesions, biliary obstruction, or pancreatic abnormalities." This targeted approach ensures that resources are utilized efficiently and that diagnostic accuracy is maximized.</w:t>
      </w:r>
    </w:p>
    <w:bookmarkEnd w:id="20"/>
    <w:bookmarkStart w:id="22" w:name="ii.-methodology-and-imaging-protocols"/>
    <w:p>
      <w:pPr>
        <w:pStyle w:val="Heading2"/>
      </w:pPr>
      <w:r>
        <w:t xml:space="preserve">II. Methodology and Imaging Protocols</w:t>
      </w:r>
    </w:p>
    <w:p>
      <w:pPr>
        <w:pStyle w:val="FirstParagraph"/>
      </w:pPr>
      <w:r>
        <w:t xml:space="preserve">The imaging study was performed using a 3-Tesla MRI scanner equipped with phased-array body coils. The choice of modality was driven by the superior soft-tissue contrast resolution provided by magnetic resonance, which is essential for differentiating between benign and malignant lesions in the abdominal cavity. The protocol included axial, coronal, and sagittal T1-weighted and T2-weighted sequences.</w:t>
      </w:r>
    </w:p>
    <w:p>
      <w:pPr>
        <w:pStyle w:val="BodyText"/>
      </w:pPr>
      <w:r>
        <w:t xml:space="preserve">Contrast administration was utilized to enhance vascular structures and characterize tissue perfusion. A gadolinium-based contrast agent was administered intravenously via power injector at a rate of 2 mL/sec. The Radiologist monitored the bolus timing carefully to capture images during the arterial, portal venous, and delayed phases. This multiphase approach is a hallmark of advanced radiological practice in United States Miami, where early detection of vascular anomalies or hypervascular tumors is prioritized.</w:t>
      </w:r>
    </w:p>
    <w:bookmarkStart w:id="21" w:name="technical-parameters"/>
    <w:p>
      <w:pPr>
        <w:pStyle w:val="Heading3"/>
      </w:pPr>
      <w:r>
        <w:t xml:space="preserve">Technical Parameters:</w:t>
      </w:r>
    </w:p>
    <w:p>
      <w:pPr>
        <w:numPr>
          <w:ilvl w:val="0"/>
          <w:numId w:val="1001"/>
        </w:numPr>
        <w:pStyle w:val="Compact"/>
      </w:pPr>
      <w:r>
        <w:rPr>
          <w:bCs/>
          <w:b/>
        </w:rPr>
        <w:t xml:space="preserve">MRI Field Strength:</w:t>
      </w:r>
      <w:r>
        <w:t xml:space="preserve"> </w:t>
      </w:r>
      <w:r>
        <w:t xml:space="preserve">3.0 Tesla</w:t>
      </w:r>
    </w:p>
    <w:p>
      <w:pPr>
        <w:numPr>
          <w:ilvl w:val="0"/>
          <w:numId w:val="1001"/>
        </w:numPr>
        <w:pStyle w:val="Compact"/>
      </w:pPr>
      <w:r>
        <w:rPr>
          <w:bCs/>
          <w:b/>
        </w:rPr>
        <w:t xml:space="preserve">Slice Thickness:</w:t>
      </w:r>
      <w:r>
        <w:t xml:space="preserve"> </w:t>
      </w:r>
      <w:r>
        <w:t xml:space="preserve">5 mm with no gap</w:t>
      </w:r>
    </w:p>
    <w:p>
      <w:pPr>
        <w:numPr>
          <w:ilvl w:val="0"/>
          <w:numId w:val="1001"/>
        </w:numPr>
        <w:pStyle w:val="Compact"/>
      </w:pPr>
      <w:r>
        <w:rPr>
          <w:bCs/>
          <w:b/>
        </w:rPr>
        <w:t xml:space="preserve">Inversion Recovery Pulse Sequences:</w:t>
      </w:r>
      <w:r>
        <w:t xml:space="preserve">/used for fat suppression</w:t>
      </w:r>
    </w:p>
    <w:bookmarkEnd w:id="21"/>
    <w:bookmarkEnd w:id="22"/>
    <w:bookmarkStart w:id="27" w:name="X9e95082d5561f2e3351e5cf18ec762059ac4487"/>
    <w:p>
      <w:pPr>
        <w:pStyle w:val="Heading2"/>
      </w:pPr>
      <w:r>
        <w:t xml:space="preserve">III. Findings Detailed by the Radiologist</w:t>
      </w:r>
    </w:p>
    <w:p>
      <w:pPr>
        <w:pStyle w:val="FirstParagraph"/>
      </w:pPr>
      <w:r>
        <w:t xml:space="preserve">The interpretation of the imaging data was conducted by a dedicated Radiologist who specializes in abdominal and pelvic imaging. The following observations were recorded after a systematic review of all acquired series.</w:t>
      </w:r>
    </w:p>
    <w:bookmarkStart w:id="23" w:name="liver"/>
    <w:p>
      <w:pPr>
        <w:pStyle w:val="Heading3"/>
      </w:pPr>
      <w:r>
        <w:t xml:space="preserve">Liver</w:t>
      </w:r>
    </w:p>
    <w:p>
      <w:pPr>
        <w:pStyle w:val="FirstParagraph"/>
      </w:pPr>
      <w:r>
        <w:t xml:space="preserve">The liver is normal in size, measuring 14.5 cm in the midclavicular line. The contour is smooth, and there is no evidence of cirrhosis or nodularity. Within segment VIII of the right lobe, a well-circumscribed lesion measuring 2.1 x 1.8 cm was identified. On T2-weighted images, the lesion demonstrates hyperintensity similar to cerebrospinal fluid (CSF). Following contrast administration, there is peripheral nodular enhancement in the arterial phase with progressive centripetal fill-in during the portal venous and delayed phases. These features are classic and highly characteristic of a hepatic hemangioma.</w:t>
      </w:r>
    </w:p>
    <w:bookmarkEnd w:id="23"/>
    <w:bookmarkStart w:id="24" w:name="gallbladder-and-biliary-tree"/>
    <w:p>
      <w:pPr>
        <w:pStyle w:val="Heading3"/>
      </w:pPr>
      <w:r>
        <w:t xml:space="preserve">Gallbladder and Biliary Tree</w:t>
      </w:r>
    </w:p>
    <w:p>
      <w:pPr>
        <w:pStyle w:val="FirstParagraph"/>
      </w:pPr>
      <w:r>
        <w:t xml:space="preserve">The gallbladder is distended but thin-walled, measuring 2 mm in thickness. No cholelithiasis (gallstones) or sludge is visualized. The common bile duct measures 5 mm in diameter, which falls within normal limits for this patient’s age and body habitus. There is no evidence of intrahepatic or extrahepatic biliary dilation.</w:t>
      </w:r>
    </w:p>
    <w:bookmarkEnd w:id="24"/>
    <w:bookmarkStart w:id="25" w:name="pancreas"/>
    <w:p>
      <w:pPr>
        <w:pStyle w:val="Heading3"/>
      </w:pPr>
      <w:r>
        <w:t xml:space="preserve">Pancreas</w:t>
      </w:r>
    </w:p>
    <w:p>
      <w:pPr>
        <w:pStyle w:val="FirstParagraph"/>
      </w:pPr>
      <w:r>
        <w:t xml:space="preserve">The pancreas demonstrates homogeneous enhancement without any focal masses, ductal dilatation, or peripancreatic stranding. The pancreatic duct is not visible, which is a normal finding. Adjacent vascular structures, including the superior mesenteric vein and artery, are patent and uninvolved.</w:t>
      </w:r>
    </w:p>
    <w:bookmarkEnd w:id="25"/>
    <w:bookmarkStart w:id="26" w:name="kidneys-and-adrenals"/>
    <w:p>
      <w:pPr>
        <w:pStyle w:val="Heading3"/>
      </w:pPr>
      <w:r>
        <w:t xml:space="preserve">Kidneys and Adrenals</w:t>
      </w:r>
    </w:p>
    <w:p>
      <w:pPr>
        <w:pStyle w:val="FirstParagraph"/>
      </w:pPr>
      <w:r>
        <w:t xml:space="preserve">Both kidneys show symmetric enhancement and excretion of contrast. No renal masses or hydronephrosis are present. The adrenal glands appear normal in size and morphology bilaterally.</w:t>
      </w:r>
    </w:p>
    <w:bookmarkEnd w:id="26"/>
    <w:bookmarkEnd w:id="27"/>
    <w:bookmarkStart w:id="28" w:name="Xbfe6ff9cd43186fa1ebee3767f52b2de9a76b29"/>
    <w:p>
      <w:pPr>
        <w:pStyle w:val="Heading2"/>
      </w:pPr>
      <w:r>
        <w:t xml:space="preserve">IV. Discussion of the Radiologist's Interpretation</w:t>
      </w:r>
    </w:p>
    <w:p>
      <w:pPr>
        <w:pStyle w:val="FirstParagraph"/>
      </w:pPr>
      <w:r>
        <w:t xml:space="preserve">The role of the Radiologist in this diagnostic journey is pivotal. The initial presentation suggested potential malignancy or severe inflammatory disease; however, the detailed analysis provided by the Radiologist shifted the differential diagnosis significantly. The specific enhancement pattern observed in Segment VIII was confidently attributed to a benign cavernous hemangioma, a common incidental finding that rarely requires intervention unless symptomatic or growing rapidly.</w:t>
      </w:r>
    </w:p>
    <w:p>
      <w:pPr>
        <w:pStyle w:val="BodyText"/>
      </w:pPr>
      <w:r>
        <w:t xml:space="preserve">In the context of United States Miami healthcare facilities, where patient throughput is high and diagnostic expectations are elevated, the precision of this interpretation is vital. It prevents unnecessary invasive procedures such as percutaneous biopsy or surgical exploration. The Radiologist’s conclusion rests on well-established radiological criteria (LI-RADS categories), ensuring that the diagnosis is reproducible and defensible in subsequent medical reviews.</w:t>
      </w:r>
    </w:p>
    <w:bookmarkEnd w:id="28"/>
    <w:bookmarkStart w:id="29" w:name="v.-conclusion-and-recommendations"/>
    <w:p>
      <w:pPr>
        <w:pStyle w:val="Heading2"/>
      </w:pPr>
      <w:r>
        <w:t xml:space="preserve">V. Conclusion and Recommendations</w:t>
      </w:r>
    </w:p>
    <w:p>
      <w:pPr>
        <w:pStyle w:val="FirstParagraph"/>
      </w:pPr>
      <w:r>
        <w:rPr>
          <w:bCs/>
          <w:b/>
        </w:rPr>
        <w:t xml:space="preserve">Impression:</w:t>
      </w:r>
    </w:p>
    <w:p>
      <w:pPr>
        <w:numPr>
          <w:ilvl w:val="0"/>
          <w:numId w:val="1002"/>
        </w:numPr>
        <w:pStyle w:val="Compact"/>
      </w:pPr>
      <w:r>
        <w:t xml:space="preserve">Hepatic hemangioma in segment VIII of the right lobe, appearing benign based on classic imaging features.</w:t>
      </w:r>
    </w:p>
    <w:p>
      <w:pPr>
        <w:numPr>
          <w:ilvl w:val="0"/>
          <w:numId w:val="1002"/>
        </w:numPr>
        <w:pStyle w:val="Compact"/>
      </w:pPr>
      <w:r>
        <w:t xml:space="preserve">No evidence of biliary obstruction, cholecystitis, or pancreatic pathology.</w:t>
      </w:r>
    </w:p>
    <w:p>
      <w:pPr>
        <w:pStyle w:val="FirstParagraph"/>
      </w:pPr>
      <w:r>
        <w:rPr>
          <w:bCs/>
          <w:b/>
        </w:rPr>
        <w:t xml:space="preserve">Clinical Correlation:</w:t>
      </w:r>
    </w:p>
    <w:p>
      <w:pPr>
        <w:pStyle w:val="BodyText"/>
      </w:pPr>
      <w:r>
        <w:t xml:space="preserve">The findings suggest that the patient’s abdominal symptoms are likely unrelated to hepatic structural disease. It is recommended that the referring physician investigate alternative causes for the abdominal pain, such as gastrointestinal motility disorders, functional dyspepsia, or musculoskeletal origins. The Radiologist suggests follow-up imaging in one year only if new symptoms arise or if there is a significant change in clinical status.</w:t>
      </w:r>
    </w:p>
    <w:p>
      <w:pPr>
        <w:pStyle w:val="BodyText"/>
      </w:pPr>
      <w:r>
        <w:rPr>
          <w:bCs/>
          <w:b/>
        </w:rPr>
        <w:t xml:space="preserve">Electronic Signature:</w:t>
      </w:r>
      <w:r>
        <w:br/>
      </w:r>
      <w:r>
        <w:t xml:space="preserve">John Doe, MD, FACR</w:t>
      </w:r>
      <w:r>
        <w:br/>
      </w:r>
      <w:r>
        <w:t xml:space="preserve">Board-Certified Radiologist</w:t>
      </w:r>
      <w:r>
        <w:br/>
      </w:r>
      <w:r>
        <w:t xml:space="preserve">License Number: FL-RAD-88210</w:t>
      </w:r>
      <w:r>
        <w:br/>
      </w:r>
      <w:r>
        <w:t xml:space="preserve">Facility: United States Miami Medical Center</w:t>
      </w:r>
      <w:r>
        <w:br/>
      </w:r>
      <w:r>
        <w:br/>
      </w:r>
      <w:r>
        <w:rPr>
          <w:iCs/>
          <w:i/>
        </w:rPr>
        <w:t xml:space="preserve">Disclaimer: This Lab Report is a formal medical document. Any questions regarding these findings should be directed to the treating physician or the interpreting Radiologist.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Radiological Diagnostic Assessment: Comprehensive Lab Report</dc:title>
  <dc:creator/>
  <dc:language>en</dc:language>
  <cp:keywords/>
  <dcterms:created xsi:type="dcterms:W3CDTF">2026-07-29T03:08:20Z</dcterms:created>
  <dcterms:modified xsi:type="dcterms:W3CDTF">2026-07-29T03:08:20Z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