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7dc0db564e354d2b3d8b4575eb02dd497ada36e"/>
    <w:p>
      <w:pPr>
        <w:pStyle w:val="Heading1"/>
      </w:pPr>
      <w:r>
        <w:t xml:space="preserve">Clinical Assessment and Technical Validation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Southern Cross Robotics Research Facility</w:t>
      </w:r>
      <w:r>
        <w:br/>
      </w:r>
      <w:r>
        <w:rPr>
          <w:bCs/>
          <w:b/>
        </w:rPr>
        <w:t xml:space="preserve">Jurisdiction/Location Context:</w:t>
      </w:r>
      <w:r>
        <w:t xml:space="preserve"> </w:t>
      </w:r>
      <w:r>
        <w:t xml:space="preserve">Australia Melbourne</w:t>
      </w:r>
    </w:p>
    <w:bookmarkStart w:id="20" w:name="executive-summary-and-scope"/>
    <w:p>
      <w:pPr>
        <w:pStyle w:val="Heading2"/>
      </w:pPr>
      <w:r>
        <w:t xml:space="preserve">1.0 Executive Summary and Scope</w:t>
      </w:r>
    </w:p>
    <w:p>
      <w:pPr>
        <w:pStyle w:val="FirstParagraph"/>
      </w:pPr>
      <w:r>
        <w:t xml:space="preserve">This comprehensive lab report documents the rigorous technical evaluation, safety compliance testing, and functional validation procedures required for a specialized Robotics Engineer operating within the advanced manufacturing sector of Australia Melbourne. As the engineering landscape in this vibrant Australian hub continues to evolve toward Industry 4.0 standards, the role of a Robotics Engineer is no longer limited to mere programming; it requires a multidisciplinary mastery of mechanical systems, control theory, and ethical AI implementation. The purpose of this document is to outline the specific lab protocols designed to certify competence in navigating the unique regulatory and industrial environment present in Australia Melbourne.</w:t>
      </w:r>
    </w:p>
    <w:bookmarkEnd w:id="20"/>
    <w:bookmarkStart w:id="21" w:name="objectives-of-the-laboratory-assessment"/>
    <w:p>
      <w:pPr>
        <w:pStyle w:val="Heading2"/>
      </w:pPr>
      <w:r>
        <w:t xml:space="preserve">2.0 Objectives of the Laboratory Assessment</w:t>
      </w:r>
    </w:p>
    <w:p>
      <w:pPr>
        <w:pStyle w:val="FirstParagraph"/>
      </w:pPr>
      <w:r>
        <w:t xml:space="preserve">The primary objective of this laboratory exercise is to verify that the Robotics Engineer possesses the technical acumen required to deploy autonomous systems safely and efficiently. Given the strict industrial safety regulations enforced in Australia Melbourne, this report serves as a critical checkpoint for compliance with WorkSafe Victoria guidelines. The specific goals include:</w:t>
      </w:r>
    </w:p>
    <w:p>
      <w:pPr>
        <w:numPr>
          <w:ilvl w:val="0"/>
          <w:numId w:val="1001"/>
        </w:numPr>
        <w:pStyle w:val="Compact"/>
      </w:pPr>
      <w:r>
        <w:t xml:space="preserve">Evaluating the engineer's ability to troubleshoot complex kinematic chains in high-density manufacturing environments typical of Australia Melbourne.</w:t>
      </w:r>
    </w:p>
    <w:p>
      <w:pPr>
        <w:numPr>
          <w:ilvl w:val="0"/>
          <w:numId w:val="1001"/>
        </w:numPr>
        <w:pStyle w:val="Compact"/>
      </w:pPr>
      <w:r>
        <w:t xml:space="preserve">Assessing proficiency in integrating collaborative robots (cobots) with human workers, a growing trend in modern Australian engineering firms.</w:t>
      </w:r>
    </w:p>
    <w:p>
      <w:pPr>
        <w:numPr>
          <w:ilvl w:val="0"/>
          <w:numId w:val="1001"/>
        </w:numPr>
        <w:pStyle w:val="Compact"/>
      </w:pPr>
      <w:r>
        <w:t xml:space="preserve">Demonstrating knowledge of local power standards and environmental controls relevant to operations within the geographical region of Australia Melbourne.</w:t>
      </w:r>
    </w:p>
    <w:bookmarkEnd w:id="21"/>
    <w:bookmarkStart w:id="24" w:name="methodology-and-experimental-setup"/>
    <w:p>
      <w:pPr>
        <w:pStyle w:val="Heading2"/>
      </w:pPr>
      <w:r>
        <w:t xml:space="preserve">3.0 Methodology and Experimental Setup</w:t>
      </w:r>
    </w:p>
    <w:p>
      <w:pPr>
        <w:pStyle w:val="FirstParagraph"/>
      </w:pPr>
      <w:r>
        <w:t xml:space="preserve">The laboratory assessment was conducted in a simulated industrial setting designed to mirror the operational conditions found in factories across Australia Melbourne. The setup included a standard six-axis articulated robot arm equipped with advanced vision systems and force-torque sensors.</w:t>
      </w:r>
    </w:p>
    <w:bookmarkStart w:id="22" w:name="environmental-simulation"/>
    <w:p>
      <w:pPr>
        <w:pStyle w:val="Heading3"/>
      </w:pPr>
      <w:r>
        <w:t xml:space="preserve">3.1 Environmental Simulation</w:t>
      </w:r>
    </w:p>
    <w:p>
      <w:pPr>
        <w:pStyle w:val="FirstParagraph"/>
      </w:pPr>
      <w:r>
        <w:t xml:space="preserve">To ensure relevance to the specific context of Australia Melbourne, the laboratory environment was adjusted to simulate variable humidity levels and ambient temperatures that are characteristic of the local climate during seasonal transitions. This testing phase is crucial because mechanical components in robotics must maintain precision despite thermal expansion and contraction, a factor heavily influenced by the weather patterns experienced in this part of Australia.</w:t>
      </w:r>
    </w:p>
    <w:bookmarkEnd w:id="22"/>
    <w:bookmarkStart w:id="23" w:name="software-stack-integration"/>
    <w:p>
      <w:pPr>
        <w:pStyle w:val="Heading3"/>
      </w:pPr>
      <w:r>
        <w:t xml:space="preserve">3.2 Software Stack Integration</w:t>
      </w:r>
    </w:p>
    <w:p>
      <w:pPr>
        <w:pStyle w:val="FirstParagraph"/>
      </w:pPr>
      <w:r>
        <w:t xml:space="preserve">The Robotics Engineer was required to program the robot using ROS 2 (Robot Operating System) nodes. The code base had to interface with local enterprise resource planning (ERP) systems commonly used by engineering firms in Australia Melbourne. This ensured that the data throughput and latency met the real-time requirements necessary for synchronized production lines.</w:t>
      </w:r>
    </w:p>
    <w:bookmarkEnd w:id="23"/>
    <w:bookmarkEnd w:id="24"/>
    <w:bookmarkStart w:id="25" w:name="results-and-observations"/>
    <w:p>
      <w:pPr>
        <w:pStyle w:val="Heading2"/>
      </w:pPr>
      <w:r>
        <w:t xml:space="preserve">4.0 Results and Observations</w:t>
      </w:r>
    </w:p>
    <w:p>
      <w:pPr>
        <w:pStyle w:val="FirstParagraph"/>
      </w:pPr>
      <w:r>
        <w:t xml:space="preserve">The following data points were recorded during the trial runs performed by the Robotics Engineer:</w:t>
      </w:r>
    </w:p>
    <w:p>
      <w:pPr>
        <w:numPr>
          <w:ilvl w:val="0"/>
          <w:numId w:val="1002"/>
        </w:numPr>
        <w:pStyle w:val="Compact"/>
      </w:pPr>
      <w:r>
        <w:rPr>
          <w:bCs/>
          <w:b/>
        </w:rPr>
        <w:t xml:space="preserve">Precision Metrics:</w:t>
      </w:r>
      <w:r>
        <w:t xml:space="preserve"> </w:t>
      </w:r>
      <w:r>
        <w:t xml:space="preserve">The robot demonstrated a positional accuracy of ±0.05mm, well within the tolerance limits required for high-precision tasks in Australia Melbourne’s automotive and medical device sectors.</w:t>
      </w:r>
    </w:p>
    <w:p>
      <w:pPr>
        <w:numPr>
          <w:ilvl w:val="0"/>
          <w:numId w:val="1002"/>
        </w:numPr>
        <w:pStyle w:val="Compact"/>
      </w:pPr>
      <w:r>
        <w:rPr>
          <w:bCs/>
          <w:b/>
        </w:rPr>
        <w:t xml:space="preserve">Safety Response Time:</w:t>
      </w:r>
      <w:r>
        <w:t xml:space="preserve"> </w:t>
      </w:r>
      <w:r>
        <w:t xml:space="preserve">Upon activation of the emergency stop protocol, the system halted all actuator movement within 120 milliseconds. This rapid response is critical for adhering to safety standards mandated by regulatory bodies in Australia Melbourne.</w:t>
      </w:r>
    </w:p>
    <w:p>
      <w:pPr>
        <w:numPr>
          <w:ilvl w:val="0"/>
          <w:numId w:val="1002"/>
        </w:numPr>
        <w:pStyle w:val="Compact"/>
      </w:pPr>
      <w:r>
        <w:rPr>
          <w:bCs/>
          <w:b/>
        </w:rPr>
        <w:t xml:space="preserve">Ethical AI Handling:</w:t>
      </w:r>
      <w:r>
        <w:t xml:space="preserve"> </w:t>
      </w:r>
      <w:r>
        <w:t xml:space="preserve">During a scenario involving unexpected human intrusion into the work zone, the robot correctly prioritized pedestrian safety over task completion, demonstrating robust ethical programming aligned with emerging Australian guidelines on autonomous decision-making.</w:t>
      </w:r>
    </w:p>
    <w:bookmarkEnd w:id="25"/>
    <w:bookmarkStart w:id="26" w:name="discussion"/>
    <w:p>
      <w:pPr>
        <w:pStyle w:val="Heading2"/>
      </w:pPr>
      <w:r>
        <w:t xml:space="preserve">5.0 Discussion</w:t>
      </w:r>
    </w:p>
    <w:p>
      <w:pPr>
        <w:pStyle w:val="FirstParagraph"/>
      </w:pPr>
      <w:r>
        <w:t xml:space="preserve">The results indicate a high level of competency in the Robotics Engineer’s skill set, particularly regarding safety integration and environmental adaptability. However, several nuances specific to the region of Australia Melbourne were observed. For instance, initial communication lags occurred when interfacing with legacy machinery that was not designed for modern IoT protocols. This is a common challenge in older industrial sites found throughout Australia Melbourne.</w:t>
      </w:r>
    </w:p>
    <w:p>
      <w:pPr>
        <w:pStyle w:val="BodyText"/>
      </w:pPr>
      <w:r>
        <w:t xml:space="preserve">The engineer successfully mitigated this issue by implementing an edge-computing layer that processed local data before transmitting it to the central cloud server. This solution highlights the importance of adaptive engineering skills, which are highly valued in the Australian market. Furthermore, the report notes that documentation practices were thorough and aligned with ISO standards, ensuring that maintenance logs could be easily audited by inspectors in Australia Melbourne.</w:t>
      </w:r>
    </w:p>
    <w:bookmarkEnd w:id="26"/>
    <w:bookmarkStart w:id="27" w:name="conclusion"/>
    <w:p>
      <w:pPr>
        <w:pStyle w:val="Heading2"/>
      </w:pPr>
      <w:r>
        <w:t xml:space="preserve">6.0 Conclusion</w:t>
      </w:r>
    </w:p>
    <w:p>
      <w:pPr>
        <w:pStyle w:val="FirstParagraph"/>
      </w:pPr>
      <w:r>
        <w:t xml:space="preserve">In conclusion, this lab report affirms that the Robotics Engineer has successfully passed all critical validation stages. The ability to operate within the specific technical and regulatory framework of Australia Melbourne is evident in both the code efficiency and hardware safety measures implemented during testing. As industries continue to digitize across this region, professionals who can bridge the gap between theoretical robotics engineering and practical, localized application are indispensable.</w:t>
      </w:r>
    </w:p>
    <w:p>
      <w:pPr>
        <w:pStyle w:val="BodyText"/>
      </w:pPr>
      <w:r>
        <w:t xml:space="preserve">This assessment serves as a foundational benchmark for future projects involving automation in Australia Melbourne. It underscores the necessity of continuous learning and adaptation for Robotics Engineers aiming to lead innovation in this dynamic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2026-07-29T01:49:09Z</dcterms:created>
  <dcterms:modified xsi:type="dcterms:W3CDTF">2026-07-29T01:49:09Z</dcterms:modified>
</cp:coreProperties>
</file>

<file path=docProps/custom.xml><?xml version="1.0" encoding="utf-8"?>
<Properties xmlns="http://schemas.openxmlformats.org/officeDocument/2006/custom-properties" xmlns:vt="http://schemas.openxmlformats.org/officeDocument/2006/docPropsVTypes"/>
</file>