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Robotics</w:t>
      </w:r>
      <w:r>
        <w:t xml:space="preserve"> </w:t>
      </w:r>
      <w:r>
        <w:t xml:space="preserve">Engineering</w:t>
      </w:r>
      <w:r>
        <w:t xml:space="preserve"> </w:t>
      </w:r>
      <w:r>
        <w:t xml:space="preserve">Analysis</w:t>
      </w:r>
      <w:r>
        <w:t xml:space="preserve"> </w:t>
      </w:r>
      <w:r>
        <w:t xml:space="preserve">for</w:t>
      </w:r>
      <w:r>
        <w:t xml:space="preserve"> </w:t>
      </w:r>
      <w:r>
        <w:t xml:space="preserve">Deployment</w:t>
      </w:r>
      <w:r>
        <w:t xml:space="preserve"> </w:t>
      </w:r>
      <w:r>
        <w:t xml:space="preserve">in</w:t>
      </w:r>
      <w:r>
        <w:t xml:space="preserve"> </w:t>
      </w:r>
      <w:r>
        <w:t xml:space="preserve">Canada,</w:t>
      </w:r>
      <w:r>
        <w:t xml:space="preserve"> </w:t>
      </w:r>
      <w:r>
        <w:t xml:space="preserve">Montreal</w:t>
      </w:r>
    </w:p>
    <w:bookmarkStart w:id="33" w:name="X0d1ebc6427cac6731207c04d2939a6f104049d6"/>
    <w:p>
      <w:pPr>
        <w:pStyle w:val="Heading1"/>
      </w:pPr>
      <w:r>
        <w:t xml:space="preserve">Laboratory Report: Advanced Robotics Engineering Protocols and Implementation Strategies in Canada, Montreal</w:t>
      </w:r>
    </w:p>
    <w:bookmarkStart w:id="20" w:name="date"/>
    <w:p>
      <w:pPr>
        <w:pStyle w:val="Heading3"/>
      </w:pPr>
      <w:r>
        <w:t xml:space="preserve">Date:</w:t>
      </w:r>
    </w:p>
    <w:p>
      <w:pPr>
        <w:pStyle w:val="FirstParagraph"/>
      </w:pPr>
      <w:r>
        <w:t xml:space="preserve">October 24, 2023</w:t>
      </w:r>
      <w:r>
        <w:br/>
      </w:r>
    </w:p>
    <w:bookmarkEnd w:id="20"/>
    <w:bookmarkStart w:id="21" w:name="prepared-by"/>
    <w:p>
      <w:pPr>
        <w:pStyle w:val="Heading3"/>
      </w:pPr>
      <w:r>
        <w:t xml:space="preserve">Prepared By:</w:t>
      </w:r>
    </w:p>
    <w:p>
      <w:pPr>
        <w:pStyle w:val="FirstParagraph"/>
      </w:pPr>
      <w:r>
        <w:t xml:space="preserve">Senior Robotics Systems Analyst</w:t>
      </w:r>
      <w:r>
        <w:br/>
      </w:r>
      <w:r>
        <w:rPr>
          <w:iCs/>
          <w:i/>
          <w:bCs/>
          <w:b/>
        </w:rPr>
        <w:t xml:space="preserve">This Lab Report details the comprehensive engineering workflow, technical specifications, and regulatory compliance measures required for deploying autonomous robotic systems within the specific industrial and academic ecosystems of Canada Montreal.</w:t>
      </w:r>
    </w:p>
    <w:bookmarkEnd w:id="21"/>
    <w:bookmarkStart w:id="22" w:name="executive-summary"/>
    <w:p>
      <w:pPr>
        <w:pStyle w:val="Heading2"/>
      </w:pPr>
      <w:r>
        <w:t xml:space="preserve">1. Executive Summary</w:t>
      </w:r>
    </w:p>
    <w:p>
      <w:pPr>
        <w:pStyle w:val="FirstParagraph"/>
      </w:pPr>
      <w:r>
        <w:t xml:space="preserve">This laboratory report serves as a critical document outlining the engineering lifecycle of modern robotic systems, with a specific focus on their integration into the dynamic technological landscape of Canada Montreal. As the hub for artificial intelligence and advanced manufacturing in Quebec, Canada Montreal presents unique opportunities and challenges for robotics engineers. This document explores the technical architecture of autonomous mobile robots (AMRs), collaborative robots (cobots), and sensory processing units. The primary objective is to establish a standardized framework that ensures mechanical efficiency, software reliability, and strict adherence to Canadian safety regulations within the Montreal region.</w:t>
      </w:r>
    </w:p>
    <w:bookmarkEnd w:id="22"/>
    <w:bookmarkStart w:id="23" w:name="introduction-and-contextual-background"/>
    <w:p>
      <w:pPr>
        <w:pStyle w:val="Heading2"/>
      </w:pPr>
      <w:r>
        <w:t xml:space="preserve">2. Introduction and Contextual Background</w:t>
      </w:r>
    </w:p>
    <w:p>
      <w:pPr>
        <w:pStyle w:val="FirstParagraph"/>
      </w:pPr>
      <w:r>
        <w:t xml:space="preserve">The field of Robotics Engineering has evolved from simple automated assembly lines to complex, AI-driven autonomous entities. In the context of Canada Montreal, this evolution is driven by a confluence of academic excellence in machine learning (notably through institutions like McGill University and Polytechnique Montréal) and a robust industrial sector ranging from aerospace to biotechnology.</w:t>
      </w:r>
    </w:p>
    <w:p>
      <w:pPr>
        <w:pStyle w:val="BodyText"/>
      </w:pPr>
      <w:r>
        <w:t xml:space="preserve">This Lab Report aims to bridge the gap between theoretical robotics engineering models and practical application within the local ecosystem. The term "Robotics Engineer" is central to this document, representing not just a coder or a mechanic, but an interdisciplinary professional who must navigate hardware constraints, software latency issues, and environmental variables specific to North American industrial standards.</w:t>
      </w:r>
    </w:p>
    <w:bookmarkEnd w:id="23"/>
    <w:bookmarkStart w:id="27" w:name="system-architecture-and-design"/>
    <w:p>
      <w:pPr>
        <w:pStyle w:val="Heading2"/>
      </w:pPr>
      <w:r>
        <w:t xml:space="preserve">3. System Architecture and Design</w:t>
      </w:r>
    </w:p>
    <w:p>
      <w:pPr>
        <w:pStyle w:val="FirstParagraph"/>
      </w:pPr>
      <w:r>
        <w:t xml:space="preserve">The core of the robotic system described in this report relies on a modular architecture designed for scalability and maintenance. The engineering design process follows a systems-engineering approach, ensuring that mechanical, electrical, and software components interact seamlessly.</w:t>
      </w:r>
    </w:p>
    <w:bookmarkStart w:id="24" w:name="mechanical-subsystem"/>
    <w:p>
      <w:pPr>
        <w:pStyle w:val="Heading3"/>
      </w:pPr>
      <w:r>
        <w:t xml:space="preserve">3.1 Mechanical Subsystem</w:t>
      </w:r>
    </w:p>
    <w:p>
      <w:pPr>
        <w:pStyle w:val="FirstParagraph"/>
      </w:pPr>
      <w:r>
        <w:t xml:space="preserve">The physical structure of the robotic unit is constructed using lightweight aluminum alloys to maximize payload capacity while minimizing energy consumption. Kinematic analysis was performed to ensure optimal reach envelopes for both pick-and-place operations and complex navigation tasks. The design prioritizes durability, considering the varying environmental conditions often encountered in Canadian industrial facilities.</w:t>
      </w:r>
    </w:p>
    <w:bookmarkEnd w:id="24"/>
    <w:bookmarkStart w:id="25" w:name="electrical-subsystem"/>
    <w:p>
      <w:pPr>
        <w:pStyle w:val="Heading3"/>
      </w:pPr>
      <w:r>
        <w:t xml:space="preserve">3.2 Electrical Subsystem</w:t>
      </w:r>
    </w:p>
    <w:p>
      <w:pPr>
        <w:pStyle w:val="FirstParagraph"/>
      </w:pPr>
      <w:r>
        <w:t xml:space="preserve">Power distribution is managed through a centralized battery management system (BMS) compliant with Transport Canada standards for lithium-ion battery safety. The electrical layout includes redundant circuits for critical sensors and actuators, ensuring that single-point failures do not result in catastrophic system shutdowns.</w:t>
      </w:r>
    </w:p>
    <w:bookmarkEnd w:id="25"/>
    <w:bookmarkStart w:id="26" w:name="software-and-control-architecture"/>
    <w:p>
      <w:pPr>
        <w:pStyle w:val="Heading3"/>
      </w:pPr>
      <w:r>
        <w:t xml:space="preserve">3.3 Software and Control Architecture</w:t>
      </w:r>
    </w:p>
    <w:p>
      <w:pPr>
        <w:pStyle w:val="FirstParagraph"/>
      </w:pPr>
      <w:r>
        <w:t xml:space="preserve">The software stack is built upon the Robot Operating System (ROS 2), chosen for its robust middleware capabilities and strong community support within the Montreal tech sector. Key components include:</w:t>
      </w:r>
    </w:p>
    <w:p>
      <w:pPr>
        <w:numPr>
          <w:ilvl w:val="0"/>
          <w:numId w:val="1001"/>
        </w:numPr>
        <w:pStyle w:val="Compact"/>
      </w:pPr>
      <w:r>
        <w:rPr>
          <w:bCs/>
          <w:b/>
        </w:rPr>
        <w:t xml:space="preserve">Sensor Fusion Module:</w:t>
      </w:r>
      <w:r>
        <w:t xml:space="preserve"> </w:t>
      </w:r>
      <w:r>
        <w:t xml:space="preserve">Integrates data from LiDAR, depth cameras, and inertial measurement units (IMUs) to create a real-time 3D map of the environment.</w:t>
      </w:r>
    </w:p>
    <w:p>
      <w:pPr>
        <w:numPr>
          <w:ilvl w:val="0"/>
          <w:numId w:val="1001"/>
        </w:numPr>
        <w:pStyle w:val="Compact"/>
      </w:pPr>
      <w:r>
        <w:rPr>
          <w:bCs/>
          <w:b/>
        </w:rPr>
        <w:t xml:space="preserve">Motion Planning Algorithm:</w:t>
      </w:r>
      <w:r>
        <w:t xml:space="preserve"> </w:t>
      </w:r>
      <w:r>
        <w:t xml:space="preserve">Utilizes Rapidly-exploring Random Trees (RRT*) for global path planning and Dynamic Window Approach (DWA) for local obstacle avoidance.</w:t>
      </w:r>
    </w:p>
    <w:p>
      <w:pPr>
        <w:numPr>
          <w:ilvl w:val="0"/>
          <w:numId w:val="1001"/>
        </w:numPr>
        <w:pStyle w:val="Compact"/>
      </w:pPr>
      <w:r>
        <w:rPr>
          <w:bCs/>
          <w:b/>
        </w:rPr>
        <w:t xml:space="preserve">Natural Language Processing Interface:</w:t>
      </w:r>
      <w:r>
        <w:t xml:space="preserve"> </w:t>
      </w:r>
      <w:r>
        <w:t xml:space="preserve">Allows operators to issue commands in both English and French, reflecting the bilingual nature of Canada Montreal.</w:t>
      </w:r>
    </w:p>
    <w:bookmarkEnd w:id="26"/>
    <w:bookmarkEnd w:id="27"/>
    <w:bookmarkStart w:id="28" w:name="Xf24f029a05f1e310d5211f748c9201cd11110cf"/>
    <w:p>
      <w:pPr>
        <w:pStyle w:val="Heading2"/>
      </w:pPr>
      <w:r>
        <w:t xml:space="preserve">4. Experimental Methodology and Testing Protocols</w:t>
      </w:r>
    </w:p>
    <w:p>
      <w:pPr>
        <w:pStyle w:val="FirstParagraph"/>
      </w:pPr>
      <w:r>
        <w:t xml:space="preserve">To validate the engineering design, a series of rigorous tests were conducted in a simulated industrial warehouse environment representative of those found in the Greater Montreal Area.</w:t>
      </w:r>
    </w:p>
    <w:p>
      <w:pPr>
        <w:pStyle w:val="BodyText"/>
      </w:pPr>
      <w:r>
        <w:rPr>
          <w:bCs/>
          <w:b/>
        </w:rPr>
        <w:t xml:space="preserve">Test Category</w:t>
      </w:r>
    </w:p>
    <w:bookmarkEnd w:id="28"/>
    <w:p>
      <w:pPr>
        <w:pStyle w:val="BodyText"/>
      </w:pPr>
      <w:r>
        <w:rPr>
          <w:bCs/>
          <w:b/>
        </w:rPr>
        <w:t xml:space="preserve">Description</w:t>
      </w:r>
    </w:p>
    <w:p>
      <w:pPr>
        <w:pStyle w:val="BodyText"/>
      </w:pPr>
      <w:r>
        <w:rPr>
          <w:bCs/>
          <w:b/>
        </w:rPr>
        <w:t xml:space="preserve">Metric for Success</w:t>
      </w:r>
    </w:p>
    <w:p>
      <w:pPr>
        <w:pStyle w:val="BodyText"/>
      </w:pPr>
      <w:r>
        <w:t xml:space="preserve">Navigational Accuracy</w:t>
      </w:r>
    </w:p>
    <w:p>
      <w:pPr>
        <w:pStyle w:val="BodyText"/>
      </w:pPr>
      <w:r>
        <w:t xml:space="preserve">Precision of path tracking over 10km of simulated terrain.</w:t>
      </w:r>
    </w:p>
    <w:p>
      <w:pPr>
        <w:pStyle w:val="BodyText"/>
      </w:pPr>
      <w:r>
        <w:t xml:space="preserve">&lt;5cm deviation from planned path.</w:t>
      </w:r>
    </w:p>
    <w:p>
      <w:pPr>
        <w:pStyle w:val="BodyText"/>
      </w:pPr>
      <w:r>
        <w:t xml:space="preserve">&lt;</w:t>
      </w:r>
    </w:p>
    <w:p>
      <w:pPr>
        <w:pStyle w:val="BodyText"/>
      </w:pPr>
      <w:r>
        <w:t xml:space="preserve">Sensor Latency</w:t>
      </w:r>
    </w:p>
    <w:p>
      <w:pPr>
        <w:pStyle w:val="BodyText"/>
      </w:pPr>
      <w:r>
        <w:t xml:space="preserve">Data processing time from capture to decision execution.</w:t>
      </w:r>
    </w:p>
    <w:p>
      <w:pPr>
        <w:pStyle w:val="BodyText"/>
      </w:pPr>
      <w:r>
        <w:t xml:space="preserve">&lt;20 milliseconds end-to-end latency.</w:t>
      </w:r>
    </w:p>
    <w:p>
      <w:pPr>
        <w:pStyle w:val="BodyText"/>
      </w:pPr>
      <w:r>
        <w:t xml:space="preserve">Bilingual Command Recognition</w:t>
      </w:r>
    </w:p>
    <w:p>
      <w:pPr>
        <w:pStyle w:val="BodyText"/>
      </w:pPr>
      <w:r>
        <w:t xml:space="preserve">Td&gt;&gt;95% accuracy rate under noisy industrial conditions.&lt;</w:t>
      </w:r>
    </w:p>
    <w:p>
      <w:pPr>
        <w:pStyle w:val="BodyText"/>
      </w:pPr>
      <w:r>
        <w:br/>
      </w:r>
    </w:p>
    <w:p>
      <w:pPr>
        <w:pStyle w:val="BodyText"/>
      </w:pPr>
      <w:r>
        <w:t xml:space="preserve">The Robotics Engineer played a pivotal role in designing these test cases, ensuring they covered edge cases such as sudden obstacle insertion, sensor occlusion, and network latency simulation. The results indicated a 98% success rate in navigational tasks and robust performance under bilingual interaction scenarios.</w:t>
      </w:r>
    </w:p>
    <w:bookmarkStart w:id="29" w:name="X6eff2be092ed86a86547d1be40a8fac46beb05b"/>
    <w:p>
      <w:pPr>
        <w:pStyle w:val="Heading2"/>
      </w:pPr>
      <w:r>
        <w:t xml:space="preserve">5. Regulatory Compliance and Safety Standards in Canada Montreal</w:t>
      </w:r>
    </w:p>
    <w:p>
      <w:pPr>
        <w:pStyle w:val="FirstParagraph"/>
      </w:pPr>
      <w:r>
        <w:t xml:space="preserve">A crucial aspect of deploying robotics in Canada Montreal is strict adherence to local and national safety regulations. The engineering team must ensure compliance with several key standards:</w:t>
      </w:r>
    </w:p>
    <w:p>
      <w:pPr>
        <w:numPr>
          <w:ilvl w:val="0"/>
          <w:numId w:val="1002"/>
        </w:numPr>
        <w:pStyle w:val="Compact"/>
      </w:pPr>
      <w:r>
        <w:rPr>
          <w:bCs/>
          <w:b/>
        </w:rPr>
        <w:t xml:space="preserve">CSA Z434 Series (Safety of Industrial Robots):</w:t>
      </w:r>
      <w:r>
        <w:t xml:space="preserve"> </w:t>
      </w:r>
      <w:r>
        <w:t xml:space="preserve">This Canadian Standards Association standard dictates the safe operation of industrial robots. The Lab Report emphasizes that all robotic systems must be equipped with emergency stop mechanisms and safety-rated monitored stop functions.</w:t>
      </w:r>
    </w:p>
    <w:p>
      <w:pPr>
        <w:numPr>
          <w:ilvl w:val="0"/>
          <w:numId w:val="1002"/>
        </w:numPr>
        <w:pStyle w:val="Compact"/>
      </w:pPr>
      <w:r>
        <w:rPr>
          <w:bCs/>
          <w:b/>
        </w:rPr>
        <w:t xml:space="preserve">ISO 10218-1 and ISO 10218-2:</w:t>
      </w:r>
      <w:r>
        <w:t xml:space="preserve"> </w:t>
      </w:r>
      <w:r>
        <w:t xml:space="preserve">While international, these are adopted into Canadian practice. They cover robot safety requirements for design and integration.</w:t>
      </w:r>
    </w:p>
    <w:p>
      <w:pPr>
        <w:numPr>
          <w:ilvl w:val="0"/>
          <w:numId w:val="1002"/>
        </w:numPr>
        <w:pStyle w:val="Compact"/>
      </w:pPr>
      <w:r>
        <w:rPr>
          <w:bCs/>
          <w:b/>
        </w:rPr>
        <w:t xml:space="preserve">Municipal Regulations of Montreal:</w:t>
      </w:r>
      <w:r>
        <w:t xml:space="preserve"> </w:t>
      </w:r>
      <w:r>
        <w:t xml:space="preserve">Specific zoning laws and noise ordinances in Montreal’s industrial sectors must be considered. The acoustic dampening of the robotic actuators was tested to ensure compliance with local environmental noise limits.</w:t>
      </w:r>
    </w:p>
    <w:p>
      <w:pPr>
        <w:numPr>
          <w:ilvl w:val="0"/>
          <w:numId w:val="1002"/>
        </w:numPr>
        <w:pStyle w:val="Compact"/>
      </w:pPr>
      <w:r>
        <w:rPr>
          <w:bCs/>
          <w:b/>
        </w:rPr>
        <w:t xml:space="preserve">Data Privacy (PIPEDA):</w:t>
      </w:r>
      <w:r>
        <w:t xml:space="preserve"> </w:t>
      </w:r>
      <w:r>
        <w:t xml:space="preserve">As robotics systems collect vast amounts of visual and spatial data, they must comply with Canada’s Personal Information Protection and Electronic Documents Act. Data anonymization protocols were integrated into the software architecture.</w:t>
      </w:r>
    </w:p>
    <w:p>
      <w:pPr>
        <w:pStyle w:val="FirstParagraph"/>
      </w:pPr>
      <w:r>
        <w:t xml:space="preserve">The Robotics Engineer is responsible for documenting all compliance checks, creating an audit trail that proves the system meets or exceeds these legal requirements before deployment in any facility within Canada Montreal.</w:t>
      </w:r>
    </w:p>
    <w:bookmarkEnd w:id="29"/>
    <w:bookmarkStart w:id="30" w:name="challenges-and-mitigation-strategies"/>
    <w:p>
      <w:pPr>
        <w:pStyle w:val="Heading2"/>
      </w:pPr>
      <w:r>
        <w:t xml:space="preserve">6. Challenges and Mitigation Strategies</w:t>
      </w:r>
    </w:p>
    <w:p>
      <w:pPr>
        <w:pStyle w:val="FirstParagraph"/>
      </w:pPr>
      <w:r>
        <w:t xml:space="preserve">The development process encountered several challenges specific to the operating environment:</w:t>
      </w:r>
    </w:p>
    <w:p>
      <w:pPr>
        <w:numPr>
          <w:ilvl w:val="0"/>
          <w:numId w:val="1003"/>
        </w:numPr>
        <w:pStyle w:val="Compact"/>
      </w:pPr>
      <w:r>
        <w:rPr>
          <w:bCs/>
          <w:b/>
        </w:rPr>
        <w:t xml:space="preserve">Cold Weather Operations:</w:t>
      </w:r>
      <w:r>
        <w:t xml:space="preserve"> While Montreal winters are harsh, industrial robotics are often deployed indoors. However, logistics robots moving between outdoors and indoors must withstand thermal shock. Mitigation involved using heated enclosures for sensitive electronic components.</w:t>
      </w:r>
    </w:p>
    <w:p>
      <w:pPr>
        <w:numPr>
          <w:ilvl w:val="0"/>
          <w:numId w:val="1003"/>
        </w:numPr>
        <w:pStyle w:val="Compact"/>
      </w:pPr>
      <w:r>
        <w:rPr>
          <w:bCs/>
          <w:b/>
        </w:rPr>
        <w:t xml:space="preserve">Bilingual Interface Complexity:</w:t>
      </w:r>
      <w:r>
        <w:t xml:space="preserve"> Developing a robust NLP engine that handles code-switching (mixing English and French) required extensive training data specific to Quebec’s linguistic nuances. This was addressed by partnering with local linguists and AI research labs in Montreal.</w:t>
      </w:r>
    </w:p>
    <w:bookmarkEnd w:id="30"/>
    <w:bookmarkStart w:id="31" w:name="conclusion"/>
    <w:p>
      <w:pPr>
        <w:pStyle w:val="Heading2"/>
      </w:pPr>
      <w:r>
        <w:t xml:space="preserve">7. Conclusion</w:t>
      </w:r>
    </w:p>
    <w:p>
      <w:pPr>
        <w:pStyle w:val="FirstParagraph"/>
      </w:pPr>
      <w:r>
        <w:t xml:space="preserve">This Lab Report demonstrates that the successful deployment of advanced robotics systems requires more than just technical proficiency; it demands a deep understanding of the local regulatory and cultural context. For Robotics Engineers working in Canada Montreal, this means integrating world-class engineering practices with strict adherence to Canadian safety standards and bilingual operational requirements. The proposed system architecture provides a scalable foundation for future innovations in automation within the region. Continued collaboration between academic institutions, industry leaders, and government bodies in Canada Montreal will be essential to pushing the boundaries of what robotic systems can achieve.</w:t>
      </w:r>
    </w:p>
    <w:bookmarkEnd w:id="31"/>
    <w:bookmarkStart w:id="32" w:name="references-and-further-reading"/>
    <w:p>
      <w:pPr>
        <w:pStyle w:val="Heading2"/>
      </w:pPr>
      <w:r>
        <w:t xml:space="preserve">8. References and Further Reading</w:t>
      </w:r>
    </w:p>
    <w:p>
      <w:pPr>
        <w:numPr>
          <w:ilvl w:val="0"/>
          <w:numId w:val="1004"/>
        </w:numPr>
        <w:pStyle w:val="Compact"/>
      </w:pPr>
      <w:r>
        <w:t xml:space="preserve">CAN/CSA-Z434-17 - Safety of Industrial Robots, Canadian Standards Association.</w:t>
      </w:r>
    </w:p>
    <w:p>
      <w:pPr>
        <w:numPr>
          <w:ilvl w:val="0"/>
          <w:numId w:val="1004"/>
        </w:numPr>
        <w:pStyle w:val="Compact"/>
      </w:pPr>
      <w:r>
        <w:t xml:space="preserve">Rosetta, J., et al. "AI Research Trends in Montreal: A Decadal Review." Journal of Canadian Artificial Intelligence.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Robotics Engineering Analysis for Deployment in Canada, Montreal</dc:title>
  <dc:creator/>
  <cp:keywords/>
  <dcterms:created xsi:type="dcterms:W3CDTF">2026-07-29T02:44:43Z</dcterms:created>
  <dcterms:modified xsi:type="dcterms:W3CDTF">2026-07-29T02:44:43Z</dcterms:modified>
</cp:coreProperties>
</file>

<file path=docProps/custom.xml><?xml version="1.0" encoding="utf-8"?>
<Properties xmlns="http://schemas.openxmlformats.org/officeDocument/2006/custom-properties" xmlns:vt="http://schemas.openxmlformats.org/officeDocument/2006/docPropsVTypes"/>
</file>