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Competency</w:t>
      </w:r>
      <w:r>
        <w:t xml:space="preserve"> </w:t>
      </w:r>
      <w:r>
        <w:t xml:space="preserve">Analysis</w:t>
      </w:r>
      <w:r>
        <w:t xml:space="preserve"> </w:t>
      </w:r>
      <w:r>
        <w:t xml:space="preserve">for</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Hiring Committee, Berlin Innovation Hub</w:t>
      </w:r>
      <w:r>
        <w:br/>
      </w:r>
      <w:r>
        <w:t xml:space="preserve"> </w:t>
      </w:r>
    </w:p>
    <w:bookmarkStart w:id="29" w:name="laboratory-report"/>
    <w:p>
      <w:pPr>
        <w:pStyle w:val="Heading1"/>
      </w:pPr>
      <w:r>
        <w:t xml:space="preserve">Laboratory Report</w:t>
      </w:r>
    </w:p>
    <w:p>
      <w:pPr>
        <w:pStyle w:val="FirstParagraph"/>
      </w:pPr>
      <w:r>
        <w:rPr>
          <w:bCs/>
          <w:b/>
        </w:rPr>
        <w:t xml:space="preserve">Subject:</w:t>
      </w:r>
      <w:r>
        <w:t xml:space="preserve"> </w:t>
      </w:r>
      <w:r>
        <w:t xml:space="preserve">Evaluation of Technical Proficiency, Regulatory Compliance, and Operational Integration for the Position of Robotics Engineer within the Strict Industrial Frameworks of Germany Berlin.</w:t>
      </w:r>
    </w:p>
    <w:bookmarkStart w:id="20" w:name="executive-summary"/>
    <w:p>
      <w:pPr>
        <w:pStyle w:val="Heading2"/>
      </w:pPr>
      <w:r>
        <w:t xml:space="preserve">1.0 Executive Summary</w:t>
      </w:r>
    </w:p>
    <w:p>
      <w:pPr>
        <w:pStyle w:val="FirstParagraph"/>
      </w:pPr>
      <w:r>
        <w:t xml:space="preserve">This laboratory report serves as a comprehensive evaluation document designed to assess the viability and technical readiness of candidates seeking employment as a</w:t>
      </w:r>
      <w:r>
        <w:t xml:space="preserve"> </w:t>
      </w:r>
      <w:r>
        <w:rPr>
          <w:bCs/>
          <w:b/>
        </w:rPr>
        <w:t xml:space="preserve">Robotics Engineer</w:t>
      </w:r>
      <w:r>
        <w:t xml:space="preserve">. The primary objective of this assessment is not merely to evaluate coding or mechanical assembly skills, but to determine how well an engineer can integrate into the highly regulated, precision-oriented industrial ecosystem of</w:t>
      </w:r>
      <w:r>
        <w:t xml:space="preserve"> </w:t>
      </w:r>
      <w:r>
        <w:rPr>
          <w:bCs/>
          <w:b/>
        </w:rPr>
        <w:t xml:space="preserve">Germany Berlin</w:t>
      </w:r>
      <w:r>
        <w:t xml:space="preserve">. As the capital city and a burgeoning hub for high-tech startups and established manufacturing giants alike,</w:t>
      </w:r>
      <w:r>
        <w:t xml:space="preserve"> </w:t>
      </w:r>
      <w:r>
        <w:rPr>
          <w:bCs/>
          <w:b/>
        </w:rPr>
        <w:t xml:space="preserve">Germany Berlin</w:t>
      </w:r>
      <w:r>
        <w:t xml:space="preserve"> </w:t>
      </w:r>
      <w:r>
        <w:t xml:space="preserve">presents unique challenges that require a specific blend of academic rigor, practical application, and strict adherence to European Union standards. The following analysis outlines the critical competencies required to succeed as a</w:t>
      </w:r>
      <w:r>
        <w:t xml:space="preserve"> </w:t>
      </w:r>
      <w:r>
        <w:rPr>
          <w:bCs/>
          <w:b/>
        </w:rPr>
        <w:t xml:space="preserve">Robotics Engineer</w:t>
      </w:r>
    </w:p>
    <w:bookmarkEnd w:id="20"/>
    <w:bookmarkStart w:id="21" w:name="Xf33546672ecd13e47567e62d82d406917927e74"/>
    <w:p>
      <w:pPr>
        <w:pStyle w:val="Heading2"/>
      </w:pPr>
      <w:r>
        <w:t xml:space="preserve">2.0 Contextual Framework: The Berlin Industrial Landscape</w:t>
      </w:r>
    </w:p>
    <w:p>
      <w:pPr>
        <w:pStyle w:val="FirstParagraph"/>
      </w:pPr>
      <w:r>
        <w:t xml:space="preserve">To understand the requirements of a</w:t>
      </w:r>
    </w:p>
    <w:p>
      <w:pPr>
        <w:pStyle w:val="BodyText"/>
      </w:pPr>
      <w:r>
        <w:t xml:space="preserve">Robotics Engineer, one must first understand the context of</w:t>
      </w:r>
    </w:p>
    <w:p>
      <w:pPr>
        <w:pStyle w:val="BodyText"/>
      </w:pPr>
      <w:r>
        <w:t xml:space="preserve">Germany Berlin. Unlike other global tech hubs that may prioritize speed and rapid iteration above all else, the German engineering sector is renowned for its emphasis on "Gründlichkeit" (thoroughness) and precision. In</w:t>
      </w:r>
      <w:r>
        <w:t xml:space="preserve"> </w:t>
      </w:r>
      <w:r>
        <w:rPr>
          <w:bCs/>
          <w:b/>
        </w:rPr>
        <w:t xml:space="preserve">Germany Berlin</w:t>
      </w:r>
      <w:r>
        <w:t xml:space="preserve">, robotics are not just deployed for efficiency; they are integrated into systems where safety, reliability, and sustainability are paramount. The city’s transition toward becoming a smart city requires robust robotic infrastructure that can interact seamlessly with public spaces, logistics networks, and medical facilities. Therefore, the</w:t>
      </w:r>
    </w:p>
    <w:p>
      <w:pPr>
        <w:pStyle w:val="BodyText"/>
      </w:pPr>
      <w:r>
        <w:t xml:space="preserve">Laboratory Report must account for candidates who can navigate the complex interplay between cutting-edge innovation and conservative regulatory expectations.</w:t>
      </w:r>
    </w:p>
    <w:bookmarkEnd w:id="21"/>
    <w:bookmarkStart w:id="24" w:name="technical-competency-assessment"/>
    <w:p>
      <w:pPr>
        <w:pStyle w:val="Heading2"/>
      </w:pPr>
      <w:r>
        <w:t xml:space="preserve">3.0 Technical Competency Assessment</w:t>
      </w:r>
    </w:p>
    <w:p>
      <w:pPr>
        <w:pStyle w:val="FirstParagraph"/>
      </w:pPr>
      <w:r>
        <w:t xml:space="preserve">The core of this</w:t>
      </w:r>
    </w:p>
    <w:p>
      <w:pPr>
        <w:pStyle w:val="BodyText"/>
      </w:pPr>
      <w:r>
        <w:t xml:space="preserve">Laboratory Report focuses on three pillars of technical expertise required for a</w:t>
      </w:r>
    </w:p>
    <w:p>
      <w:pPr>
        <w:pStyle w:val="BodyText"/>
      </w:pPr>
      <w:r>
        <w:t xml:space="preserve">Robotics Engineer: Mechanical Design, Control Systems, and Artificial Intelligence integration. In the context of</w:t>
      </w:r>
      <w:r>
        <w:t xml:space="preserve"> </w:t>
      </w:r>
      <w:r>
        <w:rPr>
          <w:bCs/>
          <w:b/>
        </w:rPr>
        <w:t xml:space="preserve">Germany Berlin</w:t>
      </w:r>
      <w:r>
        <w:t xml:space="preserve">, these skills must be applied with an understanding of modularity and interoperability. Candidates are evaluated on their ability to design robotic arms or autonomous mobile robots (AMRs) that can operate in shared human-robot workspaces without causing harm. This requires a deep understanding of kinematics, dynamics, and sensor fusion. Furthermore, the engineer must demonstrate proficiency in programming languages such as C++ and Python, alongside middleware platforms like ROS2 (Robot Operating System), which is becoming the de facto standard for robotics development in European academic and industrial circles.</w:t>
      </w:r>
    </w:p>
    <w:bookmarkStart w:id="22" w:name="Xc4c2e36627e827a033f83050b048e25d793db94"/>
    <w:p>
      <w:pPr>
        <w:pStyle w:val="Heading3"/>
      </w:pPr>
      <w:r>
        <w:t xml:space="preserve">3.1 Mechanical Precision and Materials Science</w:t>
      </w:r>
    </w:p>
    <w:p>
      <w:pPr>
        <w:pStyle w:val="FirstParagraph"/>
      </w:pPr>
      <w:r>
        <w:t xml:space="preserve">In</w:t>
      </w:r>
      <w:r>
        <w:t xml:space="preserve"> </w:t>
      </w:r>
      <w:r>
        <w:rPr>
          <w:bCs/>
          <w:b/>
        </w:rPr>
        <w:t xml:space="preserve">Germany Berlin</w:t>
      </w:r>
      <w:r>
        <w:t xml:space="preserve">, there is a strong cultural emphasis on quality materials and durable construction. A</w:t>
      </w:r>
    </w:p>
    <w:p>
      <w:pPr>
        <w:pStyle w:val="BodyText"/>
      </w:pPr>
      <w:r>
        <w:t xml:space="preserve">Robotics Engineer must be adept at selecting materials that withstand high operational loads while remaining energy-efficient. This section of the assessment evaluates the candidate’s knowledge of finite element analysis (FEA) and their ability to optimize designs for manufacturability. The engineer must also consider the environmental impact of their designs, aligning with Berlin’s strict sustainability goals.</w:t>
      </w:r>
    </w:p>
    <w:bookmarkEnd w:id="22"/>
    <w:bookmarkStart w:id="23" w:name="control-systems-and-real-time-processing"/>
    <w:p>
      <w:pPr>
        <w:pStyle w:val="Heading3"/>
      </w:pPr>
      <w:r>
        <w:t xml:space="preserve">3.2 Control Systems and Real-Time Processing</w:t>
      </w:r>
    </w:p>
    <w:p>
      <w:pPr>
        <w:pStyle w:val="FirstParagraph"/>
      </w:pPr>
      <w:r>
        <w:t xml:space="preserve">The reliability of robotic systems in</w:t>
      </w:r>
      <w:r>
        <w:t xml:space="preserve"> </w:t>
      </w:r>
      <w:r>
        <w:rPr>
          <w:bCs/>
          <w:b/>
        </w:rPr>
        <w:t xml:space="preserve">Germany Berlin</w:t>
      </w:r>
      <w:r>
        <w:t xml:space="preserve">'s industrial sectors is non-negotiable. A</w:t>
      </w:r>
    </w:p>
    <w:p>
      <w:pPr>
        <w:pStyle w:val="BodyText"/>
      </w:pPr>
      <w:r>
        <w:t xml:space="preserve">Laboratory Report must highlight the candidate’s ability to develop control algorithms that ensure stable and predictable behavior under varying conditions. This includes PID controllers, model predictive control (MPC), and state-space methods. The engineer must prove that their systems can handle real-time data processing with minimal latency, ensuring immediate responses to unexpected obstacles or changes in the environment.</w:t>
      </w:r>
    </w:p>
    <w:bookmarkEnd w:id="23"/>
    <w:bookmarkEnd w:id="24"/>
    <w:bookmarkStart w:id="25" w:name="Xc1bf6019d7c7f546cd756b019a9b2d8bdab0c79"/>
    <w:p>
      <w:pPr>
        <w:pStyle w:val="Heading2"/>
      </w:pPr>
      <w:r>
        <w:t xml:space="preserve">4.0 Regulatory Compliance and Safety Standards</w:t>
      </w:r>
    </w:p>
    <w:p>
      <w:pPr>
        <w:pStyle w:val="FirstParagraph"/>
      </w:pPr>
      <w:r>
        <w:t xml:space="preserve">A defining characteristic of working as a</w:t>
      </w:r>
    </w:p>
    <w:p>
      <w:pPr>
        <w:pStyle w:val="BodyText"/>
      </w:pPr>
      <w:r>
        <w:t xml:space="preserve">Robotics Engineer in</w:t>
      </w:r>
    </w:p>
    <w:p>
      <w:pPr>
        <w:pStyle w:val="BodyText"/>
      </w:pPr>
      <w:r>
        <w:t xml:space="preserve">Germany Berlin, is the rigorous adherence to safety regulations. The region is heavily influenced by DIN EN ISO standards, particularly ISO 10218 for industrial robots and ISO/TS 15066 for collaborative robots (cobots). This section of the</w:t>
      </w:r>
    </w:p>
    <w:p>
      <w:pPr>
        <w:pStyle w:val="BodyText"/>
      </w:pPr>
      <w:r>
        <w:t xml:space="preserve">Laboratory Report details the necessity of understanding these legal frameworks. An engineer who ignores these standards is not merely unqualified; they pose a significant liability risk to any organization operating in Berlin. The assessment includes questions on hazard analysis, risk assessment methodologies, and the implementation of safety-rated monitored stop functions.</w:t>
      </w:r>
    </w:p>
    <w:p>
      <w:pPr>
        <w:pStyle w:val="BodyText"/>
      </w:pPr>
      <w:r>
        <w:t xml:space="preserve">Moreover, with the increasing focus on data privacy within the European Union under GDPR, a</w:t>
      </w:r>
    </w:p>
    <w:p>
      <w:pPr>
        <w:pStyle w:val="BodyText"/>
      </w:pPr>
      <w:r>
        <w:t xml:space="preserve">Robotics Engineer must also understand how data collected by robots is handled. In</w:t>
      </w:r>
      <w:r>
        <w:t xml:space="preserve"> </w:t>
      </w:r>
      <w:r>
        <w:rPr>
          <w:bCs/>
          <w:b/>
        </w:rPr>
        <w:t xml:space="preserve">Germany Berlin</w:t>
      </w:r>
      <w:r>
        <w:t xml:space="preserve">, where public trust in technology is closely monitored, engineers must design systems that respect user privacy and ensure secure communication protocols.</w:t>
      </w:r>
    </w:p>
    <w:bookmarkEnd w:id="25"/>
    <w:bookmarkStart w:id="26" w:name="Xce54f5cce14edee61bb75d9185941e1dff9e128"/>
    <w:p>
      <w:pPr>
        <w:pStyle w:val="Heading2"/>
      </w:pPr>
      <w:r>
        <w:t xml:space="preserve">5.0 Soft Skills and Cross-Functional Collaboration</w:t>
      </w:r>
    </w:p>
    <w:p>
      <w:pPr>
        <w:pStyle w:val="FirstParagraph"/>
      </w:pPr>
      <w:r>
        <w:t xml:space="preserve">The role of a</w:t>
      </w:r>
    </w:p>
    <w:p>
      <w:pPr>
        <w:pStyle w:val="BodyText"/>
      </w:pPr>
      <w:r>
        <w:t xml:space="preserve">Robotics Engineer is rarely isolated. In the collaborative culture of</w:t>
      </w:r>
      <w:r>
        <w:t xml:space="preserve"> </w:t>
      </w:r>
      <w:r>
        <w:rPr>
          <w:bCs/>
          <w:b/>
        </w:rPr>
        <w:t xml:space="preserve">Germany Berlin</w:t>
      </w:r>
      <w:r>
        <w:t xml:space="preserve">, engineers must work closely with mechanical designers, software developers, product managers, and legal compliance officers. The</w:t>
      </w:r>
    </w:p>
    <w:p>
      <w:pPr>
        <w:pStyle w:val="BodyText"/>
      </w:pPr>
      <w:r>
        <w:t xml:space="preserve">Laboratory Report emphasizes the importance of clear communication in German and English. Technical documentation must be precise, unambiguous, and accessible to non-technical stakeholders. Furthermore, the ability to participate in agile development cycles while maintaining rigorous engineering standards is a critical skill set for this role.</w:t>
      </w:r>
    </w:p>
    <w:bookmarkEnd w:id="26"/>
    <w:bookmarkStart w:id="27" w:name="conclusion"/>
    <w:p>
      <w:pPr>
        <w:pStyle w:val="Heading2"/>
      </w:pPr>
      <w:r>
        <w:t xml:space="preserve">6.0 Conclusion</w:t>
      </w:r>
    </w:p>
    <w:p>
      <w:pPr>
        <w:pStyle w:val="FirstParagraph"/>
      </w:pPr>
      <w:r>
        <w:t xml:space="preserve">In conclusion, this</w:t>
      </w:r>
    </w:p>
    <w:p>
      <w:pPr>
        <w:pStyle w:val="BodyText"/>
      </w:pPr>
      <w:r>
        <w:t xml:space="preserve">Laboratory Report underscores that the position of a</w:t>
      </w:r>
    </w:p>
    <w:p>
      <w:pPr>
        <w:pStyle w:val="BodyText"/>
      </w:pPr>
      <w:r>
        <w:t xml:space="preserve">Robotics Engineer in</w:t>
      </w:r>
    </w:p>
    <w:p>
      <w:pPr>
        <w:pStyle w:val="BodyText"/>
      </w:pPr>
      <w:r>
        <w:t xml:space="preserve">Germany Berlin. Is not just a technical job but a multifaceted role requiring a harmonious blend of engineering excellence, regulatory awareness, and ethical responsibility. The city’s unique position as a leader in sustainable urban technology demands engineers who are not only proficient in code and circuits but also deeply committed to the values of safety, precision, and sustainability that define German industrial culture. Candidates who excel in these areas will be well-equipped to drive innovation while maintaining the high standards expected by the</w:t>
      </w:r>
      <w:r>
        <w:t xml:space="preserve"> </w:t>
      </w:r>
      <w:r>
        <w:rPr>
          <w:bCs/>
          <w:b/>
        </w:rPr>
        <w:t xml:space="preserve">Germany Berlin</w:t>
      </w:r>
      <w:r>
        <w:t xml:space="preserve"> </w:t>
      </w:r>
      <w:r>
        <w:t xml:space="preserve">market.</w:t>
      </w:r>
    </w:p>
    <w:bookmarkEnd w:id="27"/>
    <w:bookmarkStart w:id="28" w:name="recommendations-for-further-evaluation"/>
    <w:p>
      <w:pPr>
        <w:pStyle w:val="Heading2"/>
      </w:pPr>
      <w:r>
        <w:t xml:space="preserve">7.0 Recommendations for Further Evaluation</w:t>
      </w:r>
    </w:p>
    <w:p>
      <w:pPr>
        <w:pStyle w:val="FirstParagraph"/>
      </w:pPr>
      <w:r>
        <w:t xml:space="preserve">We recommend that all prospective candidates undergo a practical laboratory test involving the troubleshooting of a simulated collaborative robot cell. This test should evaluate their ability to diagnose mechanical failures, debug control software, and interpret error codes in accordance with</w:t>
      </w:r>
      <w:r>
        <w:t xml:space="preserve"> </w:t>
      </w:r>
      <w:r>
        <w:rPr>
          <w:bCs/>
          <w:b/>
        </w:rPr>
        <w:t xml:space="preserve">Germany Berlin</w:t>
      </w:r>
      <w:r>
        <w:t xml:space="preserve">'s safety protocols. Additionally, interviews should focus on case studies where the candidate had to balance innovation with regulatory constraints.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Competency Analysis for a Robotics Engineer in Germany Berlin</dc:title>
  <dc:creator/>
  <cp:keywords/>
  <dcterms:created xsi:type="dcterms:W3CDTF">2026-07-29T06:01:49Z</dcterms:created>
  <dcterms:modified xsi:type="dcterms:W3CDTF">2026-07-29T06:01:49Z</dcterms:modified>
</cp:coreProperties>
</file>

<file path=docProps/custom.xml><?xml version="1.0" encoding="utf-8"?>
<Properties xmlns="http://schemas.openxmlformats.org/officeDocument/2006/custom-properties" xmlns:vt="http://schemas.openxmlformats.org/officeDocument/2006/docPropsVTypes"/>
</file>