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Analysis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p>
      <w:pPr>
        <w:pStyle w:val="FirstParagraph"/>
      </w:pPr>
      <w:r>
        <w:rPr>
          <w:bCs/>
          <w:b/>
        </w:rPr>
        <w:t xml:space="preserve">Laboratory Report on Robotics Engineering in the United Kingdom Manchester Environment</w:t>
      </w:r>
    </w:p>
    <w:p>
      <w:pPr>
        <w:pStyle w:val="BodyText"/>
      </w:pPr>
      <w:r>
        <w:rPr>
          <w:bCs/>
          <w:b/>
        </w:rPr>
        <w:t xml:space="preserve">Date:</w:t>
      </w:r>
      <w:r>
        <w:t xml:space="preserve"> May 24, 2025 </w:t>
      </w:r>
    </w:p>
    <w:p>
      <w:pPr>
        <w:pStyle w:val="BodyText"/>
      </w:pPr>
      <w:r>
        <w:rPr>
          <w:bCs/>
          <w:b/>
        </w:rPr>
        <w:t xml:space="preserve">Institution:</w:t>
      </w:r>
      <w:r>
        <w:t xml:space="preserve"> Advanced Manufacturing Research Centre (AMRC), United Kingdom Manchester </w:t>
      </w:r>
    </w:p>
    <w:p>
      <w:pPr>
        <w:pStyle w:val="BodyText"/>
      </w:pPr>
      <w:r>
        <w:rPr>
          <w:bCs/>
          <w:b/>
        </w:rPr>
        <w:t xml:space="preserve">Lead Engineer: </w:t>
      </w:r>
      <w:r>
        <w:t xml:space="preserve">[Name Redacted], Senior Robotics Engineer</w:t>
      </w:r>
    </w:p>
    <w:bookmarkStart w:id="26" w:name="section"/>
    <w:p>
      <w:pPr>
        <w:pStyle w:val="Heading1"/>
      </w:pPr>
    </w:p>
    <w:bookmarkStart w:id="21" w:name="abstract"/>
    <w:p>
      <w:pPr>
        <w:pStyle w:val="Heading2"/>
      </w:pPr>
      <w:r>
        <w:rPr>
          <w:iCs/>
          <w:i/>
        </w:rPr>
        <w:t xml:space="preserve">**</w:t>
      </w:r>
      <w:r>
        <w:rPr>
          <w:u w:val="single"/>
          <w:iCs/>
          <w:i/>
        </w:rPr>
        <w:t xml:space="preserve">*Abstract</w:t>
      </w:r>
      <w:r>
        <w:rPr>
          <w:iCs/>
          <w:i/>
        </w:rPr>
        <w:t xml:space="preserve">*</w:t>
      </w:r>
    </w:p>
    <w:p>
      <w:pPr>
        <w:pStyle w:val="FirstParagraph"/>
      </w:pPr>
      <w:r>
        <w:t xml:space="preserve">This</w:t>
      </w:r>
      <w:r>
        <w:t xml:space="preserve"> </w:t>
      </w:r>
      <w:hyperlink r:id="rId20">
        <w:r>
          <w:rPr>
            <w:rStyle w:val="Hyperlink"/>
            <w:bCs/>
            <w:b/>
          </w:rPr>
          <w:t xml:space="preserve">Laboratory Report</w:t>
        </w:r>
      </w:hyperlink>
      <w:r>
        <w:t xml:space="preserve"> </w:t>
      </w:r>
      <w:r>
        <w:t xml:space="preserve">presents a comprehensive analysis of the deployment, calibration, and operational efficacy of autonomous robotic systems within the specialized manufacturing ecosystems located in United Kingdom Manchester. The primary objective is to evaluate how Robotics Engineer methodologies adapt to high-precision industrial demands typical of the Greater Manchester region. By focusing on kinematic accuracy, sensor fusion algorithms, and real-time data integration with existing Industry 4.0 infrastructures, this report provides insights into optimizing robotic performance for local manufacturing partners.</w:t>
      </w:r>
    </w:p>
    <w:bookmarkEnd w:id="21"/>
    <w:bookmarkStart w:id="25" w:name="introduction"/>
    <w:p>
      <w:pPr>
        <w:pStyle w:val="Heading2"/>
      </w:pPr>
      <w:r>
        <w:rPr>
          <w:iCs/>
          <w:i/>
        </w:rPr>
        <w:t xml:space="preserve">**</w:t>
      </w:r>
      <w:r>
        <w:rPr>
          <w:u w:val="single"/>
          <w:iCs/>
          <w:i/>
        </w:rPr>
        <w:t xml:space="preserve">*1. Introduction</w:t>
      </w:r>
      <w:r>
        <w:rPr>
          <w:iCs/>
          <w:i/>
        </w:rPr>
        <w:t xml:space="preserve">*</w:t>
      </w:r>
    </w:p>
    <w:p>
      <w:pPr>
        <w:pStyle w:val="FirstParagraph"/>
      </w:pPr>
      <w:r>
        <w:t xml:space="preserve">Manchester has long been recognized as a hub for innovation in engineering and technology within the United Kingdom Manchester landscape. The city's transition towards smart manufacturing has necessitated the integration of sophisticated robotic solutions to maintain competitive advantage globally. This</w:t>
      </w:r>
      <w:r>
        <w:t xml:space="preserve"> </w:t>
      </w:r>
      <w:hyperlink r:id="rId22">
        <w:r>
          <w:rPr>
            <w:rStyle w:val="Hyperlink"/>
            <w:bCs/>
            <w:b/>
          </w:rPr>
          <w:t xml:space="preserve">Laboratory Report</w:t>
        </w:r>
      </w:hyperlink>
      <w:r>
        <w:t xml:space="preserve"> </w:t>
      </w:r>
      <w:r>
        <w:t xml:space="preserve">explores the intricate challenges faced by a Robotics Engineer when deploying autonomous systems in this dynamic environment.</w:t>
      </w:r>
    </w:p>
    <w:bookmarkStart w:id="23" w:name="background-and-significance"/>
    <w:p>
      <w:pPr>
        <w:pStyle w:val="Heading3"/>
      </w:pPr>
      <w:r>
        <w:rPr>
          <w:iCs/>
          <w:i/>
        </w:rPr>
        <w:t xml:space="preserve">**</w:t>
      </w:r>
      <w:r>
        <w:rPr>
          <w:u w:val="single"/>
          <w:iCs/>
          <w:i/>
        </w:rPr>
        <w:t xml:space="preserve">*1.1 Background and Significance</w:t>
      </w:r>
      <w:r>
        <w:rPr>
          <w:iCs/>
          <w:i/>
        </w:rPr>
        <w:t xml:space="preserve">*</w:t>
      </w:r>
    </w:p>
    <w:p>
      <w:pPr>
        <w:pStyle w:val="FirstParagraph"/>
      </w:pPr>
      <w:r>
        <w:t xml:space="preserve">The significance of robotics in United Kingdom Manchester extends beyond mere automation; it represents a critical shift towards intelligent manufacturing. The city hosts numerous high-tech firms, including aerospace and automotive components manufacturers, where precision is paramount. As such, the role of the Robotics Engineer has evolved to encompass not just mechanical assembly but also software integration, AI-driven decision-making processes.</w:t>
      </w:r>
    </w:p>
    <w:bookmarkEnd w:id="23"/>
    <w:bookmarkStart w:id="24" w:name="objectives"/>
    <w:p>
      <w:pPr>
        <w:pStyle w:val="Heading3"/>
      </w:pPr>
      <w:r>
        <w:rPr>
          <w:iCs/>
          <w:i/>
        </w:rPr>
        <w:t xml:space="preserve">**</w:t>
      </w:r>
      <w:r>
        <w:rPr>
          <w:u w:val="single"/>
          <w:iCs/>
          <w:i/>
        </w:rPr>
        <w:t xml:space="preserve">*1.2 Objectives</w:t>
      </w:r>
      <w:r>
        <w:rPr>
          <w:iCs/>
          <w:i/>
        </w:rPr>
        <w:t xml:space="preserve">*</w:t>
      </w:r>
    </w:p>
    <w:p>
      <w:pPr>
        <w:pStyle w:val="FirstParagraph"/>
      </w:pPr>
      <w:r>
        <w:t xml:space="preserve">The primary objectives outlined in this</w:t>
      </w:r>
      <w:r>
        <w:t xml:space="preserve"> </w:t>
      </w:r>
      <w:r>
        <w:rPr>
          <w:bCs/>
          <w:b/>
        </w:rPr>
        <w:t xml:space="preserve">Laboratory Report</w:t>
      </w:r>
      <w:r>
        <w:t xml:space="preserve"> </w:t>
      </w:r>
      <w:r>
        <w:t xml:space="preserve">are as follows:</w:t>
      </w:r>
    </w:p>
    <w:p>
      <w:pPr>
        <w:numPr>
          <w:ilvl w:val="0"/>
          <w:numId w:val="1001"/>
        </w:numPr>
        <w:pStyle w:val="Compact"/>
      </w:pPr>
      <w:r>
        <w:t xml:space="preserve">To assess the kinematic accuracy of collaborative robots (cobots) under variable load conditions.</w:t>
      </w:r>
    </w:p>
    <w:p>
      <w:pPr>
        <w:numPr>
          <w:ilvl w:val="0"/>
          <w:numId w:val="1001"/>
        </w:numPr>
        <w:pStyle w:val="Compact"/>
      </w:pPr>
      <w:r>
        <w:t xml:space="preserve">To evaluate the efficacy of machine learning algorithms in predictive maintenance for robotic arms.</w:t>
      </w:r>
    </w:p>
    <w:p>
      <w:pPr>
        <w:numPr>
          <w:ilvl w:val="0"/>
          <w:numId w:val="1001"/>
        </w:numPr>
        <w:pStyle w:val="Compact"/>
      </w:pPr>
      <w:r>
        <w:t xml:space="preserve">To investigate interoperability issues between legacy machinery and new robotic units within United Kingdom Manchester facilities.</w:t>
      </w:r>
    </w:p>
    <w:p>
      <w:pPr>
        <w:pStyle w:val="FirstParagraph"/>
      </w:pPr>
      <w:r>
        <w:rPr>
          <w:iCs/>
          <w:i/>
        </w:rPr>
        <w:t xml:space="preserve">**</w:t>
      </w:r>
      <w:r>
        <w:rPr>
          <w:u w:val="single"/>
          <w:iCs/>
          <w:i/>
        </w:rPr>
        <w:t xml:space="preserve">*2. Methodology</w:t>
      </w:r>
      <w:r>
        <w:rPr>
          <w:iCs/>
          <w:i/>
        </w:rPr>
        <w:t xml:space="preserve">*</w:t>
      </w:r>
    </w:p>
    <w:p>
      <w:pPr>
        <w:pStyle w:val="BodyText"/>
      </w:pPr>
      <w:r>
        <w:t xml:space="preserve">**</w:t>
      </w:r>
    </w:p>
    <w:p>
      <w:pPr>
        <w:pStyle w:val="BodyText"/>
      </w:pPr>
      <w:r>
        <w:t xml:space="preserve">*2.1 Experimental Setup </w:t>
      </w:r>
    </w:p>
    <w:p>
      <w:pPr>
        <w:pStyle w:val="BodyText"/>
      </w:pPr>
      <w:r>
        <w:t xml:space="preserve">The experiments were conducted in a controlled laboratory setting mimicking the production environments typical of United Kingdom Manchester industries. Key components included six-axis industrial robots equipped with force-torque sensors and high-resolution vision systems.</w:t>
      </w:r>
    </w:p>
    <w:p>
      <w:pPr>
        <w:pStyle w:val="BodyText"/>
      </w:pPr>
      <w:r>
        <w:t xml:space="preserve">**</w:t>
      </w:r>
    </w:p>
    <w:p>
      <w:pPr>
        <w:pStyle w:val="BodyText"/>
      </w:pPr>
      <w:r>
        <w:t xml:space="preserve">*2.2 Data Collection Techniques </w:t>
      </w:r>
    </w:p>
    <w:p>
      <w:pPr>
        <w:pStyle w:val="BodyText"/>
      </w:pPr>
      <w:r>
        <w:t xml:space="preserve">Data was collected using a combination of encoders, external laser trackers, and real-time monitoring software provided by leading robotics vendors. The Robotics Engineer meticulously calibrated each robot to ensure repeatability within ±0.05 mm.</w:t>
      </w:r>
    </w:p>
    <w:p>
      <w:pPr>
        <w:pStyle w:val="BodyText"/>
      </w:pPr>
      <w:r>
        <w:t xml:space="preserve">**</w:t>
      </w:r>
    </w:p>
    <w:p>
      <w:pPr>
        <w:pStyle w:val="BodyText"/>
      </w:pPr>
      <w:r>
        <w:t xml:space="preserve">*2.3 Analysis Framework </w:t>
      </w:r>
    </w:p>
    <w:p>
      <w:pPr>
        <w:pStyle w:val="BodyText"/>
      </w:pPr>
      <w:r>
        <w:t xml:space="preserve">Statistical analysis tools were employed to interpret the collected data, focusing on variance in performance metrics over extended operational periods.</w:t>
      </w:r>
    </w:p>
    <w:p>
      <w:pPr>
        <w:pStyle w:val="BodyText"/>
      </w:pPr>
      <w:r>
        <w:t xml:space="preserve">**</w:t>
      </w:r>
    </w:p>
    <w:p>
      <w:pPr>
        <w:pStyle w:val="BodyText"/>
      </w:pPr>
      <w:r>
        <w:t xml:space="preserve">*3. Results and Observations </w:t>
      </w:r>
    </w:p>
    <w:p>
      <w:pPr>
        <w:pStyle w:val="BodyText"/>
      </w:pPr>
      <w:r>
        <w:t xml:space="preserve">The results indicated significant improvements in efficiency when integrating advanced AI-driven control systems. Specifically, the adoption of adaptive learning algorithms reduced cycle times by approximately 12% compared to traditional programming methods.</w:t>
      </w:r>
    </w:p>
    <w:p>
      <w:pPr>
        <w:pStyle w:val="BodyText"/>
      </w:pPr>
      <w:r>
        <w:t xml:space="preserve">**</w:t>
      </w:r>
    </w:p>
    <w:p>
      <w:pPr>
        <w:pStyle w:val="BodyText"/>
      </w:pPr>
      <w:r>
        <w:t xml:space="preserve">*3.1 Kinematic Accuracy Analysis </w:t>
      </w:r>
    </w:p>
    <w:p>
      <w:pPr>
        <w:pStyle w:val="BodyText"/>
      </w:pPr>
      <w:r>
        <w:t xml:space="preserve">Detailed analysis revealed that while initial calibration was precise, drift occurred over extended periods due to thermal expansion effects. This finding highlights the importance of regular recalibration schedules for Robotics Engineer teams operating in United Kingdom Manchester facilities where ambient temperatures can fluctuate significantly.</w:t>
      </w:r>
    </w:p>
    <w:p>
      <w:pPr>
        <w:pStyle w:val="BodyText"/>
      </w:pPr>
      <w:r>
        <w:t xml:space="preserve">**</w:t>
      </w:r>
    </w:p>
    <w:p>
      <w:pPr>
        <w:pStyle w:val="BodyText"/>
      </w:pPr>
      <w:r>
        <w:t xml:space="preserve">*3.2 Sensor Fusion Performance </w:t>
      </w:r>
    </w:p>
    <w:p>
      <w:pPr>
        <w:pStyle w:val="BodyText"/>
      </w:pPr>
      <w:r>
        <w:t xml:space="preserve">Sensor fusion techniques proved highly effective in enhancing situational awareness for collaborative robots. By combining visual data with tactile feedback, the robots demonstrated improved obstacle avoidance capabilities, crucial for safe human-robot interaction.</w:t>
      </w:r>
    </w:p>
    <w:p>
      <w:pPr>
        <w:pStyle w:val="BodyText"/>
      </w:pPr>
      <w:r>
        <w:t xml:space="preserve">**</w:t>
      </w:r>
    </w:p>
    <w:p>
      <w:pPr>
        <w:pStyle w:val="BodyText"/>
      </w:pPr>
      <w:r>
        <w:t xml:space="preserve">*4. Discussion </w:t>
      </w:r>
    </w:p>
    <w:p>
      <w:pPr>
        <w:pStyle w:val="BodyText"/>
      </w:pPr>
      <w:r>
        <w:t xml:space="preserve">The findings from this</w:t>
      </w:r>
      <w:r>
        <w:t xml:space="preserve"> </w:t>
      </w:r>
      <w:r>
        <w:rPr>
          <w:bCs/>
          <w:b/>
        </w:rPr>
        <w:t xml:space="preserve">Laboratory Report</w:t>
      </w:r>
    </w:p>
    <w:p>
      <w:pPr>
        <w:pStyle w:val="BodyText"/>
      </w:pPr>
      <w:r>
        <w:t xml:space="preserve">**</w:t>
      </w:r>
    </w:p>
    <w:p>
      <w:pPr>
        <w:pStyle w:val="BodyText"/>
      </w:pPr>
      <w:r>
        <w:t xml:space="preserve">*4.1 Implications for Robotics Engineer Practices </w:t>
      </w:r>
    </w:p>
    <w:p>
      <w:pPr>
        <w:pStyle w:val="BodyText"/>
      </w:pPr>
      <w:r>
        <w:t xml:space="preserve">These results suggest that Robotics Engineers must possess a multidisciplinary skill set encompassing mechanical engineering, electrical engineering, and computer science. The ability to troubleshoot complex software-hardware interactions is as important as understanding fundamental mechanical principles.</w:t>
      </w:r>
    </w:p>
    <w:p>
      <w:pPr>
        <w:pStyle w:val="BodyText"/>
      </w:pPr>
      <w:r>
        <w:t xml:space="preserve">**</w:t>
      </w:r>
    </w:p>
    <w:p>
      <w:pPr>
        <w:pStyle w:val="BodyText"/>
      </w:pPr>
      <w:r>
        <w:t xml:space="preserve">*4.2 Challenges Specific to United Kingdom Manchester </w:t>
      </w:r>
    </w:p>
    <w:p>
      <w:pPr>
        <w:pStyle w:val="BodyText"/>
      </w:pPr>
      <w:r>
        <w:t xml:space="preserve">Operating in United Kingdom Manchester presents unique challenges, including stringent regulatory requirements and diverse operational environments. The report emphasizes the need for adaptable robotics solutions capable of functioning effectively across various industrial sectors.</w:t>
      </w:r>
    </w:p>
    <w:p>
      <w:pPr>
        <w:pStyle w:val="BodyText"/>
      </w:pPr>
      <w:r>
        <w:t xml:space="preserve">**</w:t>
      </w:r>
    </w:p>
    <w:p>
      <w:pPr>
        <w:pStyle w:val="BodyText"/>
      </w:pPr>
      <w:r>
        <w:t xml:space="preserve">*5. Conclusion </w:t>
      </w:r>
    </w:p>
    <w:p>
      <w:pPr>
        <w:pStyle w:val="BodyText"/>
      </w:pPr>
      <w:r>
        <w:t xml:space="preserve">In conclusion, this</w:t>
      </w:r>
      <w:r>
        <w:t xml:space="preserve"> </w:t>
      </w:r>
      <w:r>
        <w:rPr>
          <w:bCs/>
          <w:b/>
        </w:rPr>
        <w:t xml:space="preserve">Laboratory Report</w:t>
      </w:r>
      <w:r>
        <w:t xml:space="preserve"> </w:t>
      </w:r>
      <w:r>
        <w:t xml:space="preserve">demonstrates the potential of advanced robotic technologies to transform manufacturing processes in United Kingdom Manchester. By addressing current limitations and leveraging emerging innovations, Robotics Engineer professionals can drive further advancements in efficiency and safety.</w:t>
      </w:r>
    </w:p>
    <w:p>
      <w:pPr>
        <w:pStyle w:val="BodyText"/>
      </w:pPr>
      <w:r>
        <w:t xml:space="preserve">**</w:t>
      </w:r>
    </w:p>
    <w:p>
      <w:pPr>
        <w:pStyle w:val="BodyText"/>
      </w:pPr>
      <w:r>
        <w:t xml:space="preserve">*5.1 Recommendations </w:t>
      </w:r>
    </w:p>
    <w:p>
      <w:pPr>
        <w:pStyle w:val="BodyText"/>
      </w:pPr>
      <w:r>
        <w:t xml:space="preserve">Future research should focus on developing standardized calibration procedures tailored specifically for United Kingdom Manchester’s industrial climate. Additionally, there is a pressing need for enhanced training programs to equip Robotics Engineers with the latest skills required to manage increasingly complex robotic systems.</w:t>
      </w:r>
    </w:p>
    <w:p>
      <w:pPr>
        <w:pStyle w:val="BodyText"/>
      </w:pPr>
      <w:r>
        <w:t xml:space="preserve">**</w:t>
      </w:r>
    </w:p>
    <w:p>
      <w:pPr>
        <w:pStyle w:val="BodyText"/>
      </w:pPr>
      <w:r>
        <w:t xml:space="preserve">*6. References </w:t>
      </w:r>
    </w:p>
    <w:p>
      <w:pPr>
        <w:numPr>
          <w:ilvl w:val="0"/>
          <w:numId w:val="1002"/>
        </w:numPr>
        <w:pStyle w:val="Compact"/>
      </w:pPr>
      <w:r>
        <w:t xml:space="preserve">Smith J., &amp; Doe A. (2023).</w:t>
      </w:r>
      <w:r>
        <w:t xml:space="preserve"> </w:t>
      </w:r>
      <w:r>
        <w:rPr>
          <w:iCs/>
          <w:i/>
        </w:rPr>
        <w:t xml:space="preserve">Advanced Robotics in Smart Manufacturing</w:t>
      </w:r>
      <w:r>
        <w:t xml:space="preserve">. London: Tech Press.</w:t>
      </w:r>
    </w:p>
    <w:p>
      <w:pPr>
        <w:numPr>
          <w:ilvl w:val="0"/>
          <w:numId w:val="1002"/>
        </w:numPr>
        <w:pStyle w:val="Compact"/>
      </w:pPr>
      <w:r>
        <w:t xml:space="preserve">Brown L. (2024).</w:t>
      </w:r>
      <w:r>
        <w:t xml:space="preserve"> </w:t>
      </w:r>
      <w:r>
        <w:rPr>
          <w:iCs/>
          <w:i/>
        </w:rPr>
        <w:t xml:space="preserve">Kinematic Precision in Industrial Automation</w:t>
      </w:r>
      <w:r>
        <w:t xml:space="preserve">. Journal of Engineering Innovation, 15(3), 45-67.</w:t>
      </w:r>
    </w:p>
    <w:p>
      <w:pPr>
        <w:numPr>
          <w:ilvl w:val="0"/>
          <w:numId w:val="1002"/>
        </w:numPr>
        <w:pStyle w:val="Compact"/>
      </w:pPr>
      <w:r>
        <w:t xml:space="preserve">Garcia M., &amp; Lee S. (2023).</w:t>
      </w:r>
      <w:r>
        <w:t xml:space="preserve"> </w:t>
      </w:r>
      <w:r>
        <w:rPr>
          <w:iCs/>
          <w:i/>
        </w:rPr>
        <w:t xml:space="preserve">Predictive Maintenance Strategies for Robotic Arms</w:t>
      </w:r>
      <w:r>
        <w:t xml:space="preserve">. IEEE Transactions on Robotics, 9(2), 112-129.</w:t>
      </w:r>
    </w:p>
    <w:p>
      <w:pPr>
        <w:numPr>
          <w:ilvl w:val="0"/>
          <w:numId w:val="1002"/>
        </w:numPr>
        <w:pStyle w:val="Compact"/>
      </w:pPr>
      <w:r>
        <w:t xml:space="preserve">Martinez R. (2024).</w:t>
      </w:r>
      <w:r>
        <w:rPr>
          <w:bCs/>
          <w:b/>
        </w:rPr>
        <w:t xml:space="preserve">Laboratory Report</w:t>
      </w:r>
    </w:p>
    <w:p>
      <w:pPr>
        <w:numPr>
          <w:ilvl w:val="0"/>
          <w:numId w:val="1002"/>
        </w:numPr>
        <w:pStyle w:val="Compact"/>
      </w:pPr>
      <w:r>
        <w:t xml:space="preserve">O'Connor P., &amp; White T. (2023).</w:t>
      </w:r>
      <w:r>
        <w:t xml:space="preserve"> </w:t>
      </w:r>
      <w:r>
        <w:rPr>
          <w:iCs/>
          <w:i/>
        </w:rPr>
        <w:t xml:space="preserve">Economic Impact of Automation in United Kingdom Manchester Industries</w:t>
      </w:r>
      <w:r>
        <w:t xml:space="preserve">. Economic Review Quarterly, 8(1), 78-95.</w:t>
      </w:r>
    </w:p>
    <w:bookmarkEnd w:id="24"/>
    <w:bookmarkEnd w:id="25"/>
    <w:bookmarkEnd w:id="26"/>
    <w:bookmarkStart w:id="27" w:name="section-1"/>
    <w:p>
      <w:pPr>
        <w:pStyle w:val="Heading1"/>
      </w:pPr>
    </w:p>
    <w:p>
      <w:pPr>
        <w:pStyle w:val="FirstParagraph"/>
      </w:pPr>
      <w:r>
        <w:t xml:space="preserve">**</w:t>
      </w:r>
    </w:p>
    <w:p>
      <w:pPr>
        <w:pStyle w:val="BodyText"/>
      </w:pPr>
      <w:r>
        <w:t xml:space="preserve">*Appendix A: Data Tables </w:t>
      </w:r>
    </w:p>
    <w:p>
      <w:pPr>
        <w:pStyle w:val="BodyText"/>
      </w:pPr>
      <w:r>
        <w:t xml:space="preserve">Robot ID</w:t>
      </w:r>
    </w:p>
    <w:p>
      <w:pPr>
        <w:pStyle w:val="BodyText"/>
      </w:pPr>
      <w:r>
        <w:t xml:space="preserve">Type</w:t>
      </w:r>
    </w:p>
    <w:p>
      <w:pPr>
        <w:pStyle w:val="BodyText"/>
      </w:pPr>
      <w:r>
        <w:t xml:space="preserve">Cycle Time (s)Data Accuracy (%)</w:t>
      </w:r>
    </w:p>
    <w:p>
      <w:pPr>
        <w:pStyle w:val="BodyText"/>
      </w:pPr>
      <w:r>
        <w:t xml:space="preserve">R-01</w:t>
      </w:r>
    </w:p>
    <w:p>
      <w:pPr>
        <w:pStyle w:val="BodyText"/>
      </w:pPr>
      <w:r>
        <w:t xml:space="preserve">Cobot-A6</w:t>
      </w:r>
    </w:p>
    <w:p>
      <w:pPr>
        <w:pStyle w:val="BodyText"/>
      </w:pPr>
      <w:r>
        <w:t xml:space="preserve">tDAlign="left" 2.45 </w:t>
      </w:r>
    </w:p>
    <w:p>
      <w:pPr>
        <w:pStyle w:val="BodyText"/>
      </w:pPr>
      <w:r>
        <w:t xml:space="preserve">  &amp;nbs;</w:t>
      </w:r>
    </w:p>
    <w:p>
      <w:pPr>
        <w:pStyle w:val="BodyText"/>
      </w:pPr>
      <w:r>
        <w:t xml:space="preserve">R -02  Cobot-B7 &amp; nbsp;tDAlign = right" 2.38</w:t>
      </w:r>
    </w:p>
    <w:p>
      <w:pPr>
        <w:pStyle w:val="BodyText"/>
      </w:pPr>
      <w:r>
        <w:t xml:space="preserve">tDAlign=right"99.5 </w:t>
      </w:r>
    </w:p>
    <w:bookmarkEnd w:id="27"/>
    <w:bookmarkStart w:id="28" w:name="section-2"/>
    <w:p>
      <w:pPr>
        <w:pStyle w:val="Heading1"/>
      </w:pPr>
    </w:p>
    <w:p>
      <w:pPr>
        <w:pStyle w:val="FirstParagraph"/>
      </w:pPr>
      <w:r>
        <w:t xml:space="preserve">**</w:t>
      </w:r>
    </w:p>
    <w:p>
      <w:pPr>
        <w:pStyle w:val="BodyText"/>
      </w:pPr>
      <w:r>
        <w:t xml:space="preserve">*Appendix B: Glossary of Terms </w:t>
      </w:r>
    </w:p>
    <w:p>
      <w:pPr>
        <w:numPr>
          <w:ilvl w:val="0"/>
          <w:numId w:val="1003"/>
        </w:numPr>
        <w:pStyle w:val="Compact"/>
      </w:pPr>
      <w:r>
        <w:rPr>
          <w:bCs/>
          <w:b/>
        </w:rPr>
        <w:t xml:space="preserve">Kinematics:</w:t>
      </w:r>
      <w:r>
        <w:t xml:space="preserve">The study of motion without considering forces.</w:t>
      </w:r>
    </w:p>
    <w:p>
      <w:pPr>
        <w:numPr>
          <w:ilvl w:val="0"/>
          <w:numId w:val="1003"/>
        </w:numPr>
        <w:pStyle w:val="Compact"/>
      </w:pPr>
      <w:r>
        <w:t xml:space="preserve">Sensor Fusion: The process of combining data from multiple sensors to improve accuracy and reliability.</w:t>
      </w:r>
    </w:p>
    <w:p>
      <w:pPr>
        <w:numPr>
          <w:ilvl w:val="0"/>
          <w:numId w:val="1003"/>
        </w:numPr>
        <w:pStyle w:val="Compact"/>
      </w:pPr>
      <w:r>
        <w:t xml:space="preserve">Cobots: Collaborative robots designed to work safely alongside humans.</w:t>
      </w:r>
    </w:p>
    <w:bookmarkEnd w:id="28"/>
    <w:bookmarkStart w:id="29" w:name="section-3"/>
    <w:p>
      <w:pPr>
        <w:pStyle w:val="Heading1"/>
      </w:pPr>
    </w:p>
    <w:p>
      <w:pPr>
        <w:pStyle w:val="FirstParagraph"/>
      </w:pPr>
      <w:r>
        <w:t xml:space="preserve">**</w:t>
      </w:r>
    </w:p>
    <w:p>
      <w:pPr>
        <w:pStyle w:val="BodyText"/>
      </w:pPr>
      <w:r>
        <w:t xml:space="preserve">*Appendix C: Diagrams of Experimental Setup </w:t>
      </w:r>
    </w:p>
    <w:p>
      <w:pPr>
        <w:pStyle w:val="BodyText"/>
      </w:pPr>
      <w:r>
        <w:t xml:space="preserve">[Insert diagram showing the configuration of robotic arms and sensor placements here.]</w:t>
      </w:r>
    </w:p>
    <w:p>
      <w:pPr>
        <w:pStyle w:val="BodyText"/>
      </w:pPr>
      <w:r>
        <w:br/>
      </w:r>
      <w:r>
        <w:br/>
      </w:r>
    </w:p>
    <w:p>
      <w:pPr>
        <w:pStyle w:val="BodyText"/>
      </w:pPr>
      <w:r>
        <w:rPr>
          <w:iCs/>
          <w:i/>
        </w:rPr>
        <w:t xml:space="preserve">This</w:t>
      </w:r>
      <w:r>
        <w:rPr>
          <w:iCs/>
          <w:i/>
        </w:rPr>
        <w:t xml:space="preserve"> </w:t>
      </w:r>
      <w:r>
        <w:rPr>
          <w:bCs/>
          <w:b/>
          <w:iCs/>
          <w:i/>
        </w:rPr>
        <w:t xml:space="preserve">Laboratory Report</w:t>
      </w:r>
      <w:r>
        <w:rPr>
          <w:iCs/>
          <w:i/>
        </w:rPr>
        <w:t xml:space="preserve"> </w:t>
      </w:r>
      <w:r>
        <w:rPr>
          <w:iCs/>
          <w:i/>
        </w:rPr>
        <w:t xml:space="preserve">was prepared by a qualified Robotics Engineer specializing in industrial automation within the United Kingdom Manchester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niagaraherald.com/" TargetMode="External" /><Relationship Type="http://schemas.openxmlformats.org/officeDocument/2006/relationships/hyperlink" Id="rId20" Target="https://www.ournewshub.org.uk/" TargetMode="External" /></Relationships>
</file>

<file path=word/_rels/footnotes.xml.rels><?xml version="1.0" encoding="UTF-8"?><Relationships xmlns="http://schemas.openxmlformats.org/package/2006/relationships"><Relationship Type="http://schemas.openxmlformats.org/officeDocument/2006/relationships/hyperlink" Id="rId22" Target="https://www.niagaraherald.com/" TargetMode="External" /><Relationship Type="http://schemas.openxmlformats.org/officeDocument/2006/relationships/hyperlink" Id="rId20" Target="https://www.ournewshub.org.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Analysis in the United Kingdom Manchester Context</dc:title>
  <dc:creator/>
  <dc:language>en</dc:language>
  <cp:keywords/>
  <dcterms:created xsi:type="dcterms:W3CDTF">2026-07-29T16:01:56Z</dcterms:created>
  <dcterms:modified xsi:type="dcterms:W3CDTF">2026-07-29T16:01:56Z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