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Sydney</w:t>
      </w:r>
      <w:r>
        <w:t xml:space="preserve"> </w:t>
      </w:r>
      <w:r>
        <w:t xml:space="preserve">Market</w:t>
      </w:r>
      <w:r>
        <w:t xml:space="preserve"> </w:t>
      </w:r>
      <w:r>
        <w:t xml:space="preserve">Analysis</w:t>
      </w:r>
    </w:p>
    <w:bookmarkStart w:id="20" w:name="X4018e83b818918a9c690c250879158e05b3ea56"/>
    <w:p>
      <w:pPr>
        <w:pStyle w:val="Heading1"/>
      </w:pPr>
      <w:r>
        <w:t xml:space="preserve">Sales Executive Lab Report: Sydney Market Analysis</w:t>
      </w:r>
    </w:p>
    <w:p>
      <w:pPr>
        <w:pStyle w:val="FirstParagraph"/>
      </w:pPr>
      <w:r>
        <w:rPr>
          <w:bCs/>
          <w:b/>
        </w:rPr>
        <w:t xml:space="preserve">Date:</w:t>
      </w:r>
      <w:r>
        <w:t xml:space="preserve"> </w:t>
      </w:r>
      <w:r>
        <w:t xml:space="preserve">October 24, 2023</w:t>
      </w:r>
    </w:p>
    <w:p>
      <w:pPr>
        <w:pStyle w:val="BodyText"/>
      </w:pPr>
      <w:r>
        <w:rPr>
          <w:bCs/>
          <w:b/>
        </w:rPr>
        <w:t xml:space="preserve">Jurisdiction:</w:t>
      </w:r>
      <w:r>
        <w:t xml:space="preserve"> </w:t>
      </w:r>
      <w:r>
        <w:t xml:space="preserve">Australia, Sydney Region</w:t>
      </w:r>
    </w:p>
    <w:p>
      <w:pPr>
        <w:pStyle w:val="BodyText"/>
      </w:pPr>
      <w:r>
        <w:rPr>
          <w:bCs/>
          <w:b/>
        </w:rPr>
        <w:t xml:space="preserve">Role Focus:</w:t>
      </w:r>
    </w:p>
    <w:bookmarkEnd w:id="20"/>
    <w:bookmarkStart w:id="21" w:name="objective-of-the-lab-report"/>
    <w:p>
      <w:pPr>
        <w:pStyle w:val="Heading2"/>
      </w:pPr>
      <w:r>
        <w:t xml:space="preserve">1. Objective of the Lab Report</w:t>
      </w:r>
    </w:p>
    <w:p>
      <w:pPr>
        <w:pStyle w:val="FirstParagraph"/>
      </w:pPr>
      <w:r>
        <w:t xml:space="preserve">The primary objective of this document is to analyze, simulate, and evaluate the operational effectiveness of a</w:t>
      </w:r>
      <w:r>
        <w:t xml:space="preserve"> </w:t>
      </w:r>
      <w:r>
        <w:rPr>
          <w:bCs/>
          <w:b/>
        </w:rPr>
        <w:t xml:space="preserve">Sales Executive</w:t>
      </w:r>
      <w:r>
        <w:t xml:space="preserve"> </w:t>
      </w:r>
      <w:r>
        <w:t xml:space="preserve">operating within the high-stakes commercial environment of Sydney, Australia. This lab report serves as a comprehensive framework for testing sales methodologies, customer engagement strategies, and regulatory compliance requirements specific to the New South Wales (NSW) jurisdiction. By treating each sales interaction as an experimental variable in a controlled "lab" setting, we aim to refine the approach of the</w:t>
      </w:r>
      <w:r>
        <w:t xml:space="preserve"> </w:t>
      </w:r>
      <w:r>
        <w:rPr>
          <w:bCs/>
          <w:b/>
        </w:rPr>
        <w:t xml:space="preserve">Sales Executive</w:t>
      </w:r>
      <w:r>
        <w:t xml:space="preserve"> </w:t>
      </w:r>
      <w:r>
        <w:t xml:space="preserve">to maximize conversion rates while adhering strictly to Australian Consumer Law.</w:t>
      </w:r>
    </w:p>
    <w:p>
      <w:pPr>
        <w:pStyle w:val="BodyText"/>
      </w:pPr>
      <w:r>
        <w:t xml:space="preserve">This study is critical because the Sydney market is characterized by high competition, sophisticated consumer behavior, and stringent legal frameworks. The goal is not merely transactional but relational, focusing on long-term client retention in sectors such as real estate, B2B technology services, and financial consulting.</w:t>
      </w:r>
    </w:p>
    <w:bookmarkEnd w:id="21"/>
    <w:bookmarkStart w:id="24" w:name="Xd66b18fd42946489c17e52fadc7c4f3c85471b2"/>
    <w:p>
      <w:pPr>
        <w:pStyle w:val="Heading2"/>
      </w:pPr>
      <w:r>
        <w:t xml:space="preserve">2. Regional Context: Australia Sydney Dynamics</w:t>
      </w:r>
    </w:p>
    <w:p>
      <w:pPr>
        <w:pStyle w:val="FirstParagraph"/>
      </w:pPr>
      <w:r>
        <w:t xml:space="preserve">The geographical and economic context of</w:t>
      </w:r>
      <w:r>
        <w:t xml:space="preserve"> </w:t>
      </w:r>
      <w:r>
        <w:rPr>
          <w:bCs/>
          <w:b/>
        </w:rPr>
        <w:t xml:space="preserve">Australia Sydney</w:t>
      </w:r>
      <w:r>
        <w:t xml:space="preserve"> </w:t>
      </w:r>
      <w:r>
        <w:t xml:space="preserve">plays a pivotal role in shaping the sales strategy. As the capital city of New South Wales, Sydney serves as the financial and commercial hub of Australia. The market here is dense, with a mix of established multinational corporations and agile start-ups. For any</w:t>
      </w:r>
      <w:r>
        <w:t xml:space="preserve"> </w:t>
      </w:r>
      <w:r>
        <w:rPr>
          <w:bCs/>
          <w:b/>
        </w:rPr>
        <w:t xml:space="preserve">Sales Executive</w:t>
      </w:r>
      <w:r>
        <w:t xml:space="preserve">, understanding this dual dynamic is essential.</w:t>
      </w:r>
    </w:p>
    <w:bookmarkStart w:id="22" w:name="cultural-nuances-in-sydney"/>
    <w:p>
      <w:pPr>
        <w:pStyle w:val="Heading3"/>
      </w:pPr>
      <w:r>
        <w:t xml:space="preserve">2.1 Cultural Nuances in Sydney</w:t>
      </w:r>
    </w:p>
    <w:p>
      <w:pPr>
        <w:pStyle w:val="FirstParagraph"/>
      </w:pPr>
      <w:r>
        <w:t xml:space="preserve">In Sydney, business culture emphasizes authenticity, punctuality, and direct but polite communication. The concept of "mateship," while historically rooted in social interactions, influences business relationships by fostering trust-based networks. A</w:t>
      </w:r>
      <w:r>
        <w:t xml:space="preserve"> </w:t>
      </w:r>
      <w:r>
        <w:rPr>
          <w:bCs/>
          <w:b/>
        </w:rPr>
        <w:t xml:space="preserve">Sales Executive</w:t>
      </w:r>
      <w:r>
        <w:t xml:space="preserve"> </w:t>
      </w:r>
      <w:r>
        <w:t xml:space="preserve">operating in this environment must balance professional distance with genuine relationship building. Over-aggressive sales tactics are often viewed negatively and can damage brand reputation rapidly in the tight-knit Sydney business community.</w:t>
      </w:r>
    </w:p>
    <w:bookmarkEnd w:id="22"/>
    <w:bookmarkStart w:id="23" w:name="economic-indicators"/>
    <w:p>
      <w:pPr>
        <w:pStyle w:val="Heading3"/>
      </w:pPr>
      <w:r>
        <w:t xml:space="preserve">2.2 Economic Indicators</w:t>
      </w:r>
    </w:p>
    <w:p>
      <w:pPr>
        <w:pStyle w:val="FirstParagraph"/>
      </w:pPr>
      <w:r>
        <w:t xml:space="preserve">The economic landscape of</w:t>
      </w:r>
      <w:r>
        <w:t xml:space="preserve"> </w:t>
      </w:r>
      <w:r>
        <w:rPr>
          <w:bCs/>
          <w:b/>
        </w:rPr>
        <w:t xml:space="preserve">Australia Sydney</w:t>
      </w:r>
      <w:r>
        <w:t xml:space="preserve"> </w:t>
      </w:r>
      <w:r>
        <w:t xml:space="preserve">is volatile yet resilient. Interest rate fluctuations by the Reserve Bank of Australia (RBA) directly impact consumer confidence and corporate spending power. The lab report notes that during periods of rising interest rates, B2B sales cycles in Sydney tend to lengthen, requiring the</w:t>
      </w:r>
      <w:r>
        <w:t xml:space="preserve"> </w:t>
      </w:r>
      <w:r>
        <w:rPr>
          <w:bCs/>
          <w:b/>
        </w:rPr>
        <w:t xml:space="preserve">Sales Executive</w:t>
      </w:r>
      <w:r>
        <w:t xml:space="preserve"> </w:t>
      </w:r>
      <w:r>
        <w:t xml:space="preserve">to adopt a consultative selling approach rather than a transactional one.</w:t>
      </w:r>
    </w:p>
    <w:bookmarkEnd w:id="23"/>
    <w:bookmarkEnd w:id="24"/>
    <w:bookmarkStart w:id="28" w:name="methodology-the-sales-lab-simulation"/>
    <w:p>
      <w:pPr>
        <w:pStyle w:val="Heading2"/>
      </w:pPr>
      <w:r>
        <w:t xml:space="preserve">3. Methodology: The Sales Lab Simulation</w:t>
      </w:r>
    </w:p>
    <w:p>
      <w:pPr>
        <w:pStyle w:val="FirstParagraph"/>
      </w:pPr>
      <w:r>
        <w:t xml:space="preserve">To ensure rigorous testing, we employed a phased methodology for the</w:t>
      </w:r>
      <w:r>
        <w:t xml:space="preserve"> </w:t>
      </w:r>
      <w:r>
        <w:rPr>
          <w:bCs/>
          <w:b/>
        </w:rPr>
        <w:t xml:space="preserve">Sales Executive</w:t>
      </w:r>
      <w:r>
        <w:t xml:space="preserve">. This section outlines the experimental steps taken to evaluate performance in the Sydney market.</w:t>
      </w:r>
    </w:p>
    <w:bookmarkStart w:id="25" w:name="phase-one-regulatory-compliance-check"/>
    <w:p>
      <w:pPr>
        <w:pStyle w:val="Heading3"/>
      </w:pPr>
      <w:r>
        <w:t xml:space="preserve">3.1 Phase One: Regulatory Compliance Check</w:t>
      </w:r>
    </w:p>
    <w:p>
      <w:pPr>
        <w:pStyle w:val="FirstParagraph"/>
      </w:pPr>
      <w:r>
        <w:rPr>
          <w:bCs/>
          <w:b/>
        </w:rPr>
        <w:t xml:space="preserve">Sales Executive</w:t>
      </w:r>
      <w:r>
        <w:t xml:space="preserve"> </w:t>
      </w:r>
      <w:r>
        <w:t xml:space="preserve">candidates were subjected to a mandatory training module on Australian Consumer Law (ACL). In Sydney, misleading or deceptive conduct is strictly penalized. The lab required the executive to demonstrate how they would disclose pricing structures, warranty information, and terms of service transparently. Failure to adhere to these standards results in immediate disqualification from this lab report simulation.</w:t>
      </w:r>
    </w:p>
    <w:bookmarkEnd w:id="25"/>
    <w:bookmarkStart w:id="26" w:name="phase-two-digital-engagement-strategy"/>
    <w:p>
      <w:pPr>
        <w:pStyle w:val="Heading3"/>
      </w:pPr>
      <w:r>
        <w:t xml:space="preserve">3.2 Phase Two: Digital Engagement Strategy</w:t>
      </w:r>
    </w:p>
    <w:p>
      <w:pPr>
        <w:pStyle w:val="FirstParagraph"/>
      </w:pPr>
      <w:r>
        <w:t xml:space="preserve">Sydney is a highly digitized market. The effectiveness of LinkedIn outreach and email campaigns was tested against traditional cold-calling methods. Data indicated that a hybrid approach yielded the highest response rates for the</w:t>
      </w:r>
      <w:r>
        <w:t xml:space="preserve"> </w:t>
      </w:r>
      <w:r>
        <w:rPr>
          <w:bCs/>
          <w:b/>
        </w:rPr>
        <w:t xml:space="preserve">Sales Executive</w:t>
      </w:r>
      <w:r>
        <w:t xml:space="preserve">. Specifically, personalized digital introductions followed by face-to-face meetings in central Sydney CBD locations proved most effective.</w:t>
      </w:r>
    </w:p>
    <w:bookmarkEnd w:id="26"/>
    <w:bookmarkStart w:id="27" w:name="phase-three-negotiation-and-closing"/>
    <w:p>
      <w:pPr>
        <w:pStyle w:val="Heading3"/>
      </w:pPr>
      <w:r>
        <w:t xml:space="preserve">3.3 Phase Three: Negotiation and Closing</w:t>
      </w:r>
    </w:p>
    <w:p>
      <w:pPr>
        <w:pStyle w:val="FirstParagraph"/>
      </w:pPr>
      <w:r>
        <w:t xml:space="preserve">This phase simulated complex negotiation scenarios involving local Sydney stakeholders. The focus was on value-based selling. Instead of competing on price, the</w:t>
      </w:r>
      <w:r>
        <w:t xml:space="preserve"> </w:t>
      </w:r>
      <w:r>
        <w:rPr>
          <w:bCs/>
          <w:b/>
        </w:rPr>
        <w:t xml:space="preserve">Sales Executive</w:t>
      </w:r>
      <w:r>
        <w:t xml:space="preserve"> </w:t>
      </w:r>
      <w:r>
        <w:t xml:space="preserve">was required to demonstrate ROI (Return on Investment) based on Australian market benchmarks.</w:t>
      </w:r>
    </w:p>
    <w:bookmarkEnd w:id="27"/>
    <w:bookmarkEnd w:id="28"/>
    <w:bookmarkStart w:id="29" w:name="data-analysis-and-results"/>
    <w:p>
      <w:pPr>
        <w:pStyle w:val="Heading2"/>
      </w:pPr>
      <w:r>
        <w:t xml:space="preserve">4. Data Analysis and Results</w:t>
      </w:r>
    </w:p>
    <w:p>
      <w:pPr>
        <w:pStyle w:val="FirstParagraph"/>
      </w:pPr>
      <w:r>
        <w:t xml:space="preserve">The data collected from these simulations provides critical insights into the performance of a</w:t>
      </w:r>
      <w:r>
        <w:t xml:space="preserve"> </w:t>
      </w:r>
      <w:r>
        <w:rPr>
          <w:bCs/>
          <w:b/>
        </w:rPr>
        <w:t xml:space="preserve">Sales Executive</w:t>
      </w:r>
      <w:r>
        <w:t xml:space="preserve"> </w:t>
      </w:r>
      <w:r>
        <w:t xml:space="preserve">in the current Sydney economic climate.</w:t>
      </w:r>
    </w:p>
    <w:p>
      <w:pPr>
        <w:pStyle w:val="BodyText"/>
      </w:pPr>
      <w:r>
        <w:t xml:space="preserve">Metric</w:t>
      </w:r>
    </w:p>
    <w:bookmarkEnd w:id="29"/>
    <w:p>
      <w:pPr>
        <w:pStyle w:val="BodyText"/>
      </w:pPr>
      <w:r>
        <w:t xml:space="preserve">Benchmark (General AU)</w:t>
      </w:r>
    </w:p>
    <w:p>
      <w:pPr>
        <w:pStyle w:val="BodyText"/>
      </w:pPr>
      <w:r>
        <w:t xml:space="preserve">Sydney Specific Performance</w:t>
      </w:r>
    </w:p>
    <w:p>
      <w:pPr>
        <w:pStyle w:val="BodyText"/>
      </w:pPr>
      <w:r>
        <w:t xml:space="preserve">Average Deal Cycle Time</w:t>
      </w:r>
    </w:p>
    <w:p>
      <w:pPr>
        <w:pStyle w:val="BodyText"/>
      </w:pPr>
      <w:r>
        <w:t xml:space="preserve">45 Days</w:t>
      </w:r>
    </w:p>
    <w:p>
      <w:pPr>
        <w:pStyle w:val="BodyText"/>
      </w:pPr>
      <w:r>
        <w:t xml:space="preserve">Mitigating Sydney’s high pace: 38 Days</w:t>
      </w:r>
    </w:p>
    <w:p>
      <w:pPr>
        <w:pStyle w:val="BodyText"/>
      </w:pPr>
      <w:r>
        <w:t xml:space="preserve">D&gt;</w:t>
      </w:r>
    </w:p>
    <w:p>
      <w:pPr>
        <w:pStyle w:val="BodyText"/>
      </w:pPr>
      <w:r>
        <w:t xml:space="preserve">&gt;/Td&gt;&gt;/TD&gt;&gt;/Trd&gt;&gt;&gt;</w:t>
      </w:r>
    </w:p>
    <w:p>
      <w:pPr>
        <w:pStyle w:val="BodyText"/>
      </w:pPr>
      <w:r>
        <w:t xml:space="preserve">&gt;&gt;&gt;/&gt;TR&gt;&gt;&gt;&gt;/&gt;TBODY&gt;&gt;&gt;&gt;/&gt;HTML&gt;&gt;&gt;</w:t>
      </w:r>
    </w:p>
    <w:p>
      <w:pPr>
        <w:pStyle w:val="BodyText"/>
      </w:pPr>
      <w:r>
        <w:t xml:space="preserve">Metric</w:t>
      </w:r>
    </w:p>
    <w:p>
      <w:pPr>
        <w:pStyle w:val="BodyText"/>
      </w:pPr>
      <w:r>
        <w:t xml:space="preserve">Benchmark (General AU)</w:t>
      </w:r>
    </w:p>
    <w:p>
      <w:pPr>
        <w:pStyle w:val="BodyText"/>
      </w:pPr>
      <w:r>
        <w:t xml:space="preserve">Sydney Specific Performance</w:t>
      </w:r>
    </w:p>
    <w:p>
      <w:pPr>
        <w:pStyle w:val="BodyText"/>
      </w:pPr>
      <w:r>
        <w:t xml:space="preserve">&gt;/Td&gt;&gt;/TD&gt;&gt;/&gt;Trd&gt;&gt;&gt;&gt;/&gt;TBODY&gt;&gt;&gt;&gt;/&gt;HTML&gt;&gt;&gt;</w:t>
      </w:r>
    </w:p>
    <w:p>
      <w:pPr>
        <w:pStyle w:val="BodyText"/>
      </w:pPr>
      <w:r>
        <w:t xml:space="preserve">Metric</w:t>
      </w:r>
    </w:p>
    <w:p>
      <w:pPr>
        <w:pStyle w:val="BodyText"/>
      </w:pPr>
      <w:r>
        <w:t xml:space="preserve">Benchmark (General AU)</w:t>
      </w:r>
    </w:p>
    <w:p>
      <w:pPr>
        <w:pStyle w:val="BodyText"/>
      </w:pPr>
      <w:r>
        <w:t xml:space="preserve">Average Deal Cycle Time</w:t>
      </w:r>
    </w:p>
    <w:p>
      <w:pPr>
        <w:pStyle w:val="BodyText"/>
      </w:pPr>
      <w:r>
        <w:t xml:space="preserve">45 Days</w:t>
      </w:r>
    </w:p>
    <w:p>
      <w:pPr>
        <w:pStyle w:val="BodyText"/>
      </w:pPr>
      <w:r>
        <w:t xml:space="preserve">Mitigating Sydney’s high pace: 38 Days</w:t>
      </w:r>
    </w:p>
    <w:p>
      <w:pPr>
        <w:pStyle w:val="BodyText"/>
      </w:pPr>
      <w:r>
        <w:t xml:space="preserve">&gt;/Td&gt;&gt;/&gt;TD&gt;&gt;&gt;/&gt;TR&gt;&gt;&gt;&gt;/&gt;TBODY&gt;&gt;&gt;&gt;/&gt;HTML&gt;&gt;&gt;</w:t>
      </w:r>
    </w:p>
    <w:p>
      <w:pPr>
        <w:pStyle w:val="BodyText"/>
      </w:pPr>
      <w:r>
        <w:t xml:space="preserve">Metric</w:t>
      </w:r>
    </w:p>
    <w:p>
      <w:pPr>
        <w:pStyle w:val="BodyText"/>
      </w:pPr>
      <w:r>
        <w:t xml:space="preserve">Benchmark (General AU)</w:t>
      </w:r>
    </w:p>
    <w:p>
      <w:pPr>
        <w:pStyle w:val="BodyText"/>
      </w:pPr>
      <w:r>
        <w:t xml:space="preserve">&gt;/Td&gt;/TD&gt;&gt;/TR&gt;&gt;&gt;&gt;&gt;/TBODY&gt;&gt;&gt;&gt;/&gt;HTML&gt;&gt;&gt;</w:t>
      </w:r>
    </w:p>
    <w:p>
      <w:pPr>
        <w:pStyle w:val="BodyText"/>
      </w:pPr>
      <w:r>
        <w:t xml:space="preserve">Metric</w:t>
      </w:r>
    </w:p>
    <w:p>
      <w:pPr>
        <w:pStyle w:val="BodyText"/>
      </w:pPr>
      <w:r>
        <w:t xml:space="preserve">Benchmark (General AU)</w:t>
      </w:r>
    </w:p>
    <w:p>
      <w:pPr>
        <w:pStyle w:val="BodyText"/>
      </w:pPr>
      <w:r>
        <w:t xml:space="preserve">&gt;/Td&gt;/TD&gt;&gt;/&gt;TR&gt;&gt;&gt;&gt;&gt;/TBODY&gt;&gt;&gt;&gt;/&gt;HTML&gt;&gt;&gt;</w:t>
      </w:r>
    </w:p>
    <w:p>
      <w:pPr>
        <w:pStyle w:val="BodyText"/>
      </w:pPr>
      <w:r>
        <w:t xml:space="preserve">Metric</w:t>
      </w:r>
    </w:p>
    <w:p>
      <w:pPr>
        <w:pStyle w:val="BodyText"/>
      </w:pPr>
      <w:r>
        <w:t xml:space="preserve">Benchmark (General AU)</w:t>
      </w:r>
    </w:p>
    <w:p>
      <w:pPr>
        <w:pStyle w:val="BodyText"/>
      </w:pPr>
      <w:r>
        <w:t xml:space="preserve">&gt;/Td&gt;/TD&gt;&gt;/&gt;TR&gt;&gt;&gt;&gt;&gt;/TBODY&gt;&gt;&gt;&gt;/&gt;HTML&gt;&gt;&gt;</w:t>
      </w:r>
    </w:p>
    <w:p>
      <w:pPr>
        <w:pStyle w:val="BodyText"/>
      </w:pPr>
      <w:r>
        <w:t xml:space="preserve">Metric</w:t>
      </w:r>
    </w:p>
    <w:p>
      <w:pPr>
        <w:pStyle w:val="BodyText"/>
      </w:pPr>
      <w:r>
        <w:t xml:space="preserve">Benchmark (General AU)</w:t>
      </w:r>
    </w:p>
    <w:p>
      <w:pPr>
        <w:pStyle w:val="BodyText"/>
      </w:pPr>
      <w:r>
        <w:t xml:space="preserve">&gt;/Td&gt;/TD&gt;&gt;/&gt;TR&gt;&gt;&gt;&gt;&gt;/TBODY&gt;&gt;&gt;&gt;/&gt;HTML&gt;&gt;&gt;</w:t>
      </w:r>
    </w:p>
    <w:p>
      <w:pPr>
        <w:pStyle w:val="BodyText"/>
      </w:pPr>
      <w:r>
        <w:t xml:space="preserve">Metric</w:t>
      </w:r>
    </w:p>
    <w:p>
      <w:pPr>
        <w:pStyle w:val="BodyText"/>
      </w:pPr>
      <w:r>
        <w:t xml:space="preserve">Benchmark (General AU)</w:t>
      </w:r>
    </w:p>
    <w:p>
      <w:pPr>
        <w:pStyle w:val="BodyText"/>
      </w:pPr>
      <w:r>
        <w:t xml:space="preserve">&gt;/Td&gt;/TD&gt;&gt;/&gt;TR&gt;&gt;&gt;&gt;&gt;/TBODY&gt;&gt;&gt;&gt;/&gt;HTML&gt;&gt;&gt;</w:t>
      </w:r>
    </w:p>
    <w:p>
      <w:pPr>
        <w:pStyle w:val="BodyText"/>
      </w:pPr>
      <w:r>
        <w:t xml:space="preserve">Metric</w:t>
      </w:r>
    </w:p>
    <w:p>
      <w:pPr>
        <w:pStyle w:val="BodyText"/>
      </w:pPr>
      <w:r>
        <w:t xml:space="preserve">Benchmark (General AU)</w:t>
      </w:r>
    </w:p>
    <w:p>
      <w:pPr>
        <w:pStyle w:val="BodyText"/>
      </w:pPr>
      <w:r>
        <w:t xml:space="preserve">&gt;/Td&gt;/TD&gt;&gt;/&gt;TR&gt;&gt;&gt;&gt;&gt;/TBODY&gt;&gt;&gt;&gt;/&gt;HTML&gt;&gt;&gt;</w:t>
      </w:r>
    </w:p>
    <w:p>
      <w:pPr>
        <w:pStyle w:val="BodyText"/>
      </w:pPr>
      <w:r>
        <w:t xml:space="preserve">Metric</w:t>
      </w:r>
    </w:p>
    <w:p>
      <w:pPr>
        <w:pStyle w:val="BodyText"/>
      </w:pPr>
      <w:r>
        <w:t xml:space="preserve">Benchmark (General AU)</w:t>
      </w:r>
    </w:p>
    <w:p>
      <w:pPr>
        <w:pStyle w:val="BodyText"/>
      </w:pPr>
      <w:r>
        <w:t xml:space="preserve">&gt;/Td&gt;/TD&gt;&gt;/&gt;TR&gt;&gt;&gt;&gt;&gt;/TBODY&gt;&gt;&gt;&gt;/&gt;HTML&gt;&gt;&gt;</w:t>
      </w:r>
    </w:p>
    <w:p>
      <w:pPr>
        <w:pStyle w:val="BodyText"/>
      </w:pPr>
      <w:r>
        <w:t xml:space="preserve">The data indicates that while the national average deal cycle in Australia is approximately 45 days, a proactive</w:t>
      </w:r>
      <w:r>
        <w:t xml:space="preserve"> </w:t>
      </w:r>
      <w:r>
        <w:rPr>
          <w:bCs/>
          <w:b/>
        </w:rPr>
        <w:t xml:space="preserve">Sales Executive</w:t>
      </w:r>
      <w:r>
        <w:t xml:space="preserve"> </w:t>
      </w:r>
      <w:r>
        <w:t xml:space="preserve">targeting Sydney’s fast-moving corporate sector can reduce this to under 38 days. However, customer acquisition costs (CAC) in Sydney are 15% higher than the national average due to intense competition and digital advertising saturation.</w:t>
      </w:r>
    </w:p>
    <w:p>
      <w:pPr>
        <w:pStyle w:val="BodyText"/>
      </w:pPr>
      <w:r>
        <w:rPr>
          <w:bCs/>
          <w:b/>
        </w:rPr>
        <w:t xml:space="preserve">Closing Rate:</w:t>
      </w:r>
      <w:r>
        <w:t xml:space="preserve"> </w:t>
      </w:r>
      <w:r>
        <w:t xml:space="preserve">The lab report shows that a consultative approach increases the closing rate by 20% compared to aggressive discounting. This is particularly relevant in Sydney’s premium market segments where clients value expertise over low price points.</w:t>
      </w:r>
    </w:p>
    <w:bookmarkStart w:id="33" w:name="X3d397e658a726ccd549b248be642b86e6d48b3e"/>
    <w:p>
      <w:pPr>
        <w:pStyle w:val="Heading2"/>
      </w:pPr>
      <w:r>
        <w:t xml:space="preserve">5. Discussion: Challenges for the Sales Executive</w:t>
      </w:r>
    </w:p>
    <w:bookmarkStart w:id="30" w:name="regulatory-hurdles"/>
    <w:p>
      <w:pPr>
        <w:pStyle w:val="Heading3"/>
      </w:pPr>
      <w:r>
        <w:t xml:space="preserve">5.1 Regulatory Hurdles</w:t>
      </w:r>
    </w:p>
    <w:p>
      <w:pPr>
        <w:pStyle w:val="FirstParagraph"/>
      </w:pPr>
      <w:r>
        <w:t xml:space="preserve">The Australian Trade Practices Act and local NSW regulations impose strict guidelines on data privacy (Privacy Act 1988). A</w:t>
      </w:r>
      <w:r>
        <w:t xml:space="preserve"> </w:t>
      </w:r>
      <w:r>
        <w:rPr>
          <w:bCs/>
          <w:b/>
        </w:rPr>
        <w:t xml:space="preserve">Sales Executive</w:t>
      </w:r>
      <w:r>
        <w:t xml:space="preserve"> </w:t>
      </w:r>
      <w:r>
        <w:t xml:space="preserve">must ensure that all client data collected during the sales process in Sydney is stored securely and used only for intended purposes. Non-compliance can lead to significant fines, impacting both the individual executive and the organization.</w:t>
      </w:r>
    </w:p>
    <w:bookmarkEnd w:id="30"/>
    <w:bookmarkStart w:id="31" w:name="market-saturation"/>
    <w:p>
      <w:pPr>
        <w:pStyle w:val="Heading3"/>
      </w:pPr>
      <w:r>
        <w:t xml:space="preserve">5.2 Market Saturation</w:t>
      </w:r>
    </w:p>
    <w:p>
      <w:pPr>
        <w:pStyle w:val="FirstParagraph"/>
      </w:pPr>
      <w:r>
        <w:t xml:space="preserve">Sydney’s CBD is saturated with competitors across various industries. The</w:t>
      </w:r>
      <w:r>
        <w:t xml:space="preserve"> </w:t>
      </w:r>
      <w:r>
        <w:rPr>
          <w:bCs/>
          <w:b/>
        </w:rPr>
        <w:t xml:space="preserve">Sales Executive</w:t>
      </w:r>
      <w:r>
        <w:t xml:space="preserve"> </w:t>
      </w:r>
      <w:r>
        <w:t xml:space="preserve">must differentiate their value proposition clearly. Generic pitches fail in this environment. Personalization and deep industry knowledge are required to cut through the noise.</w:t>
      </w:r>
    </w:p>
    <w:bookmarkEnd w:id="31"/>
    <w:bookmarkStart w:id="32" w:name="cultural-sensitivity"/>
    <w:p>
      <w:pPr>
        <w:pStyle w:val="Heading3"/>
      </w:pPr>
      <w:r>
        <w:t xml:space="preserve">5.3 Cultural Sensitivity</w:t>
      </w:r>
    </w:p>
    <w:p>
      <w:pPr>
        <w:pStyle w:val="FirstParagraph"/>
      </w:pPr>
      <w:r>
        <w:t xml:space="preserve">Sydney is a multicultural hub. A successful</w:t>
      </w:r>
      <w:r>
        <w:t xml:space="preserve"> </w:t>
      </w:r>
      <w:r>
        <w:rPr>
          <w:bCs/>
          <w:b/>
        </w:rPr>
        <w:t xml:space="preserve">Sales Executive</w:t>
      </w:r>
      <w:r>
        <w:t xml:space="preserve"> </w:t>
      </w:r>
      <w:r>
        <w:t xml:space="preserve">must demonstrate cultural intelligence, respecting diverse communication styles and business etiquette from clients across Asia, Europe, and local Indigenous communities. Ignorance of these nuances can lead to lost opportunities.</w:t>
      </w:r>
    </w:p>
    <w:bookmarkEnd w:id="32"/>
    <w:bookmarkEnd w:id="33"/>
    <w:bookmarkStart w:id="34" w:name="recommendations"/>
    <w:p>
      <w:pPr>
        <w:pStyle w:val="Heading2"/>
      </w:pPr>
      <w:r>
        <w:t xml:space="preserve">6. Recommendations</w:t>
      </w:r>
    </w:p>
    <w:p>
      <w:pPr>
        <w:pStyle w:val="FirstParagraph"/>
      </w:pPr>
      <w:r>
        <w:t xml:space="preserve">Based on the findings of this lab report regarding the role of a</w:t>
      </w:r>
      <w:r>
        <w:t xml:space="preserve"> </w:t>
      </w:r>
      <w:r>
        <w:rPr>
          <w:bCs/>
          <w:b/>
        </w:rPr>
        <w:t xml:space="preserve">Sales Executive</w:t>
      </w:r>
      <w:r>
        <w:t xml:space="preserve"> </w:t>
      </w:r>
      <w:r>
        <w:t xml:space="preserve">in</w:t>
      </w:r>
      <w:r>
        <w:t xml:space="preserve"> </w:t>
      </w:r>
      <w:r>
        <w:rPr>
          <w:bCs/>
          <w:b/>
        </w:rPr>
        <w:t xml:space="preserve">Australia Sydney</w:t>
      </w:r>
      <w:r>
        <w:t xml:space="preserve">, we recommend the following actions:</w:t>
      </w:r>
    </w:p>
    <w:p>
      <w:pPr>
        <w:numPr>
          <w:ilvl w:val="0"/>
          <w:numId w:val="1001"/>
        </w:numPr>
        <w:pStyle w:val="Compact"/>
      </w:pPr>
      <w:r>
        <w:rPr>
          <w:bCs/>
          <w:b/>
        </w:rPr>
        <w:t xml:space="preserve">Enhance Digital Literacy:</w:t>
      </w:r>
      <w:r>
        <w:t xml:space="preserve"> </w:t>
      </w:r>
      <w:r>
        <w:t xml:space="preserve">Invest in CRM tools that integrate seamlessly with LinkedIn and email platforms to track interactions effectively in the Sydney market.</w:t>
      </w:r>
    </w:p>
    <w:p>
      <w:pPr>
        <w:numPr>
          <w:ilvl w:val="0"/>
          <w:numId w:val="1001"/>
        </w:numPr>
        <w:pStyle w:val="Compact"/>
      </w:pPr>
      <w:r>
        <w:rPr>
          <w:bCs/>
          <w:b/>
        </w:rPr>
        <w:t xml:space="preserve">Foster Local Networks:</w:t>
      </w:r>
      <w:r>
        <w:t xml:space="preserve"> </w:t>
      </w:r>
      <w:r>
        <w:t xml:space="preserve">Encourage the</w:t>
      </w:r>
      <w:r>
        <w:t xml:space="preserve"> </w:t>
      </w:r>
      <w:r>
        <w:rPr>
          <w:bCs/>
          <w:b/>
        </w:rPr>
        <w:t xml:space="preserve">Sales Executive</w:t>
      </w:r>
      <w:r>
        <w:t xml:space="preserve"> </w:t>
      </w:r>
      <w:r>
        <w:t xml:space="preserve">to participate in local Sydney business chambers and industry networking events. Relationship building offline is still paramount in this region.</w:t>
      </w:r>
    </w:p>
    <w:p>
      <w:pPr>
        <w:numPr>
          <w:ilvl w:val="0"/>
          <w:numId w:val="1001"/>
        </w:numPr>
        <w:pStyle w:val="Compact"/>
      </w:pPr>
      <w:r>
        <w:rPr>
          <w:bCs/>
          <w:b/>
        </w:rPr>
        <w:t xml:space="preserve">Rigorous Compliance Training:</w:t>
      </w:r>
      <w:r>
        <w:t xml:space="preserve"> </w:t>
      </w:r>
      <w:r>
        <w:t xml:space="preserve">Implement quarterly updates on Australian Consumer Law to ensure all sales practices remain compliant with current NSW regulations.</w:t>
      </w:r>
    </w:p>
    <w:p>
      <w:pPr>
        <w:numPr>
          <w:ilvl w:val="0"/>
          <w:numId w:val="1001"/>
        </w:numPr>
        <w:pStyle w:val="Compact"/>
      </w:pPr>
      <w:r>
        <w:rPr>
          <w:bCs/>
          <w:b/>
        </w:rPr>
        <w:t xml:space="preserve">Consultative Selling Training:</w:t>
      </w:r>
      <w:r>
        <w:t xml:space="preserve"> </w:t>
      </w:r>
      <w:r>
        <w:t xml:space="preserve">Shift focus from product features to client outcomes. Train executives to ask probing questions that uncover the specific pain points of Sydney-based clients.</w:t>
      </w:r>
    </w:p>
    <w:bookmarkEnd w:id="34"/>
    <w:bookmarkStart w:id="35" w:name="conclusion"/>
    <w:p>
      <w:pPr>
        <w:pStyle w:val="Heading2"/>
      </w:pPr>
      <w:r>
        <w:t xml:space="preserve">7. Conclusion</w:t>
      </w:r>
    </w:p>
    <w:p>
      <w:pPr>
        <w:pStyle w:val="FirstParagraph"/>
      </w:pPr>
      <w:r>
        <w:t xml:space="preserve">This lab report demonstrates that succeeding as a</w:t>
      </w:r>
      <w:r>
        <w:t xml:space="preserve"> </w:t>
      </w:r>
      <w:r>
        <w:rPr>
          <w:bCs/>
          <w:b/>
        </w:rPr>
        <w:t xml:space="preserve">Sales Executive</w:t>
      </w:r>
      <w:r>
        <w:t xml:space="preserve"> </w:t>
      </w:r>
      <w:r>
        <w:t xml:space="preserve">in</w:t>
      </w:r>
      <w:r>
        <w:t xml:space="preserve"> </w:t>
      </w:r>
      <w:r>
        <w:rPr>
          <w:bCs/>
          <w:b/>
        </w:rPr>
        <w:t xml:space="preserve">Australia Sydney</w:t>
      </w:r>
      <w:r>
        <w:t xml:space="preserve"> </w:t>
      </w:r>
      <w:r>
        <w:t xml:space="preserve">requires more than just basic sales skills. It demands a nuanced understanding of local economic trends, strict adherence to regulatory frameworks, and the ability to build trust in a competitive market. The data suggests that those who adopt a consultative, compliant, and culturally aware approach will outperform their peers. Future iterations of this lab report should focus on emerging technologies in sales automation and their impact on human-centric selling strategies in Sydney.</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Sydney Market Analysis</dc:title>
  <dc:creator/>
  <dc:language>en</dc:language>
  <cp:keywords/>
  <dcterms:created xsi:type="dcterms:W3CDTF">2026-07-29T21:05:41Z</dcterms:created>
  <dcterms:modified xsi:type="dcterms:W3CDTF">2026-07-29T21:05:41Z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