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Performance</w:t>
      </w:r>
      <w:r>
        <w:t xml:space="preserve"> </w:t>
      </w:r>
      <w:r>
        <w:t xml:space="preserve">Analysis</w:t>
      </w:r>
      <w:r>
        <w:t xml:space="preserve"> </w:t>
      </w:r>
      <w:r>
        <w:t xml:space="preserve">-</w:t>
      </w:r>
      <w:r>
        <w:t xml:space="preserve"> </w:t>
      </w:r>
      <w:r>
        <w:t xml:space="preserve">Germany</w:t>
      </w:r>
      <w:r>
        <w:t xml:space="preserve"> </w:t>
      </w:r>
      <w:r>
        <w:t xml:space="preserve">Berlin</w:t>
      </w:r>
    </w:p>
    <w:bookmarkStart w:id="33" w:name="Xb12034189dea0de7f140d8dad44de6fedbad426"/>
    <w:p>
      <w:pPr>
        <w:pStyle w:val="Heading1"/>
      </w:pPr>
      <w:r>
        <w:t xml:space="preserve">Sales Executive Lab Report: Strategic Market Penetration Analysis</w:t>
      </w:r>
    </w:p>
    <w:p>
      <w:pPr>
        <w:pStyle w:val="FirstParagraph"/>
      </w:pPr>
      <w:r>
        <w:rPr>
          <w:bCs/>
          <w:b/>
        </w:rPr>
        <w:t xml:space="preserve">Date:</w:t>
      </w:r>
      <w:r>
        <w:t xml:space="preserve"> </w:t>
      </w:r>
      <w:r>
        <w:t xml:space="preserve">May 24, 2024</w:t>
      </w:r>
      <w:r>
        <w:br/>
      </w:r>
      <w:r>
        <w:rPr>
          <w:bCs/>
          <w:b/>
        </w:rPr>
        <w:t xml:space="preserve">ID:</w:t>
      </w:r>
      <w:r>
        <w:t xml:space="preserve"> </w:t>
      </w:r>
      <w:r>
        <w:t xml:space="preserve">LAB-SE-BERLIN-099</w:t>
      </w:r>
      <w:r>
        <w:br/>
      </w:r>
      <w:r>
        <w:rPr>
          <w:bCs/>
          <w:b/>
        </w:rPr>
        <w:t xml:space="preserve">Subject:</w:t>
      </w:r>
      <w:r>
        <w:t xml:space="preserve"> </w:t>
      </w:r>
      <w:r>
        <w:t xml:space="preserve">Analysis of Sales Executive Methodologies within the Germany Berlin Region</w:t>
      </w:r>
    </w:p>
    <w:bookmarkStart w:id="20" w:name="objective-and-scope"/>
    <w:p>
      <w:pPr>
        <w:pStyle w:val="Heading2"/>
      </w:pPr>
      <w:r>
        <w:t xml:space="preserve">1. Objective and Scope</w:t>
      </w:r>
    </w:p>
    <w:p>
      <w:pPr>
        <w:pStyle w:val="FirstParagraph"/>
      </w:pPr>
      <w:r>
        <w:br/>
      </w:r>
      <w:r>
        <w:t xml:space="preserve">The primary objective of this Lab Report is to document, analyze, and validate the operational efficacy of a</w:t>
      </w:r>
      <w:r>
        <w:t xml:space="preserve"> </w:t>
      </w:r>
      <w:r>
        <w:rPr>
          <w:bCs/>
          <w:b/>
        </w:rPr>
        <w:t xml:space="preserve">Sales Executive</w:t>
      </w:r>
      <w:r>
        <w:t xml:space="preserve"> </w:t>
      </w:r>
      <w:r>
        <w:t xml:space="preserve">operating within the complex economic landscape of Germany Berlin. This document serves as a formal "laboratory" assessment where business strategies are treated as experimental variables. The goal is to determine how specific sales tactics yield measurable results in one of Europe's most competitive markets.</w:t>
      </w:r>
      <w:r>
        <w:br/>
      </w:r>
      <w:r>
        <w:br/>
      </w:r>
      <w:r>
        <w:t xml:space="preserve">By isolating the</w:t>
      </w:r>
      <w:r>
        <w:t xml:space="preserve"> </w:t>
      </w:r>
      <w:r>
        <w:rPr>
          <w:bCs/>
          <w:b/>
        </w:rPr>
        <w:t xml:space="preserve">Sales Executive</w:t>
      </w:r>
      <w:r>
        <w:t xml:space="preserve"> </w:t>
      </w:r>
      <w:r>
        <w:t xml:space="preserve">role within the geographic and cultural parameters of Germany Berlin, we can observe how local regulations, consumer behavior, and industrial standards influence revenue generation. This report functions as a critical tool for quality assurance in sales operations, ensuring that the executive's approach aligns with both corporate KPIs (Key Performance Indicators) and regional expectations.</w:t>
      </w:r>
      <w:r>
        <w:br/>
      </w:r>
      <w:r>
        <w:br/>
      </w:r>
    </w:p>
    <w:bookmarkEnd w:id="20"/>
    <w:bookmarkStart w:id="23" w:name="Xacf9beae3f5cbd614dae91ea6bb89a4521a7c15"/>
    <w:p>
      <w:pPr>
        <w:pStyle w:val="Heading2"/>
      </w:pPr>
      <w:r>
        <w:t xml:space="preserve">2. Environmental Analysis: The Germany Berlin Context</w:t>
      </w:r>
    </w:p>
    <w:p>
      <w:pPr>
        <w:pStyle w:val="FirstParagraph"/>
      </w:pPr>
      <w:r>
        <w:br/>
      </w:r>
      <w:r>
        <w:t xml:space="preserve">To understand the performance of any</w:t>
      </w:r>
      <w:r>
        <w:t xml:space="preserve"> </w:t>
      </w:r>
      <w:r>
        <w:rPr>
          <w:bCs/>
          <w:b/>
        </w:rPr>
        <w:t xml:space="preserve">Sales Executive</w:t>
      </w:r>
      <w:r>
        <w:t xml:space="preserve">, one must first define the environment. Germany Berlin is not merely a city; it is a unique ecosystem characterized by high digitalization, strict regulatory frameworks, and a highly educated workforce. This section details the external factors impacting our sales laboratory.</w:t>
      </w:r>
      <w:r>
        <w:br/>
      </w:r>
      <w:r>
        <w:br/>
      </w:r>
    </w:p>
    <w:bookmarkStart w:id="21" w:name="economic-landscape"/>
    <w:p>
      <w:pPr>
        <w:pStyle w:val="Heading3"/>
      </w:pPr>
      <w:r>
        <w:t xml:space="preserve">2.1 Economic Landscape</w:t>
      </w:r>
    </w:p>
    <w:p>
      <w:pPr>
        <w:pStyle w:val="FirstParagraph"/>
      </w:pPr>
      <w:r>
        <w:br/>
      </w:r>
      <w:r>
        <w:t xml:space="preserve">Berlin serves as the startup capital of Europe and a hub for traditional manufacturing (Industrie 4.0). For a</w:t>
      </w:r>
      <w:r>
        <w:t xml:space="preserve"> </w:t>
      </w:r>
      <w:r>
        <w:rPr>
          <w:bCs/>
          <w:b/>
        </w:rPr>
        <w:t xml:space="preserve">Sales Executive</w:t>
      </w:r>
      <w:r>
        <w:t xml:space="preserve">, this duality presents two distinct target audiences: agile tech startups requiring SaaS solutions and established industrial giants demanding hardware integration. The market in Germany Berlin is saturated, meaning that generic sales pitches are ineffective.</w:t>
      </w:r>
      <w:r>
        <w:br/>
      </w:r>
      <w:r>
        <w:br/>
      </w:r>
    </w:p>
    <w:bookmarkEnd w:id="21"/>
    <w:bookmarkStart w:id="22" w:name="regulatory-environment"/>
    <w:p>
      <w:pPr>
        <w:pStyle w:val="Heading3"/>
      </w:pPr>
      <w:r>
        <w:t xml:space="preserve">2.2 Regulatory Environment</w:t>
      </w:r>
    </w:p>
    <w:p>
      <w:pPr>
        <w:pStyle w:val="FirstParagraph"/>
      </w:pPr>
      <w:r>
        <w:br/>
      </w:r>
      <w:r>
        <w:t xml:space="preserve">Operating in Germany Berlin requires strict adherence to GDPR (General Data Protection Regulation) and local commercial laws (</w:t>
      </w:r>
      <w:r>
        <w:rPr>
          <w:bCs/>
          <w:b/>
        </w:rPr>
        <w:t xml:space="preserve">HGB</w:t>
      </w:r>
      <w:r>
        <w:t xml:space="preserve">). Any deviation by the</w:t>
      </w:r>
      <w:r>
        <w:t xml:space="preserve"> </w:t>
      </w:r>
      <w:r>
        <w:rPr>
          <w:bCs/>
          <w:b/>
        </w:rPr>
        <w:t xml:space="preserve">Sales Executive</w:t>
      </w:r>
      <w:r>
        <w:t xml:space="preserve"> </w:t>
      </w:r>
      <w:r>
        <w:t xml:space="preserve">regarding data privacy during client interactions can result in severe penalties. Therefore, the "lab" environment for this report includes a compliance audit of all client communications.</w:t>
      </w:r>
      <w:r>
        <w:br/>
      </w:r>
      <w:r>
        <w:br/>
      </w:r>
    </w:p>
    <w:bookmarkEnd w:id="22"/>
    <w:bookmarkEnd w:id="23"/>
    <w:bookmarkStart w:id="26" w:name="X40bd790c7014d4f36280605e7f651310bbb967b"/>
    <w:p>
      <w:pPr>
        <w:pStyle w:val="Heading2"/>
      </w:pPr>
      <w:r>
        <w:t xml:space="preserve">3. Methodology: The Sales Executive Experiment</w:t>
      </w:r>
    </w:p>
    <w:p>
      <w:pPr>
        <w:pStyle w:val="FirstParagraph"/>
      </w:pPr>
      <w:r>
        <w:br/>
      </w:r>
      <w:r>
        <w:t xml:space="preserve">In this section, we outline the methodology used by the</w:t>
      </w:r>
      <w:r>
        <w:t xml:space="preserve"> </w:t>
      </w:r>
      <w:r>
        <w:rPr>
          <w:bCs/>
          <w:b/>
        </w:rPr>
        <w:t xml:space="preserve">Sales Executive</w:t>
      </w:r>
      <w:r>
        <w:t xml:space="preserve">. We treat each sales cycle as an experiment with independent variables (approach, pricing, timing) and dependent variables (conversion rate, client retention).</w:t>
      </w:r>
      <w:r>
        <w:br/>
      </w:r>
      <w:r>
        <w:br/>
      </w:r>
    </w:p>
    <w:bookmarkStart w:id="24" w:name="the-target-demographic"/>
    <w:p>
      <w:pPr>
        <w:pStyle w:val="Heading3"/>
      </w:pPr>
      <w:r>
        <w:t xml:space="preserve">3.1 The Target Demographic</w:t>
      </w:r>
    </w:p>
    <w:p>
      <w:pPr>
        <w:pStyle w:val="FirstParagraph"/>
      </w:pPr>
      <w:r>
        <w:br/>
      </w:r>
      <w:r>
        <w:t xml:space="preserve">The</w:t>
      </w:r>
      <w:r>
        <w:t xml:space="preserve"> </w:t>
      </w:r>
      <w:r>
        <w:rPr>
          <w:bCs/>
          <w:b/>
        </w:rPr>
        <w:t xml:space="preserve">Sales Executive</w:t>
      </w:r>
      <w:r>
        <w:t xml:space="preserve"> </w:t>
      </w:r>
      <w:r>
        <w:t xml:space="preserve">focused on the DACH region (Germany, Austria, Switzerland), with Berlin as the primary operational base. Clients were segmented into three categories: SMEs (</w:t>
      </w:r>
      <w:r>
        <w:rPr>
          <w:iCs/>
          <w:i/>
        </w:rPr>
        <w:t xml:space="preserve">Mittelstand</w:t>
      </w:r>
      <w:r>
        <w:t xml:space="preserve">), Enterprise Corporations, and Public Sector entities in Germany Berlin.</w:t>
      </w:r>
      <w:r>
        <w:br/>
      </w:r>
      <w:r>
        <w:br/>
      </w:r>
    </w:p>
    <w:bookmarkEnd w:id="24"/>
    <w:bookmarkStart w:id="25" w:name="sales-cadence-and-protocol"/>
    <w:p>
      <w:pPr>
        <w:pStyle w:val="Heading3"/>
      </w:pPr>
      <w:r>
        <w:t xml:space="preserve">3.2 Sales Cadence and Protocol</w:t>
      </w:r>
    </w:p>
    <w:p>
      <w:pPr>
        <w:pStyle w:val="FirstParagraph"/>
      </w:pPr>
      <w:r>
        <w:br/>
      </w:r>
      <w:r>
        <w:t xml:space="preserve">The standard protocol observed for the</w:t>
      </w:r>
      <w:r>
        <w:t xml:space="preserve"> </w:t>
      </w:r>
      <w:r>
        <w:rPr>
          <w:bCs/>
          <w:b/>
        </w:rPr>
        <w:t xml:space="preserve">Sales Executive</w:t>
      </w:r>
      <w:r>
        <w:t xml:space="preserve"> </w:t>
      </w:r>
      <w:r>
        <w:t xml:space="preserve">included:</w:t>
      </w:r>
      <w:r>
        <w:br/>
      </w:r>
    </w:p>
    <w:p>
      <w:pPr>
        <w:numPr>
          <w:ilvl w:val="0"/>
          <w:numId w:val="1001"/>
        </w:numPr>
        <w:pStyle w:val="Compact"/>
      </w:pPr>
      <w:r>
        <w:rPr>
          <w:bCs/>
          <w:b/>
        </w:rPr>
        <w:t xml:space="preserve">Pre-Meeting Preparation:</w:t>
      </w:r>
      <w:r>
        <w:t xml:space="preserve"> </w:t>
      </w:r>
      <w:r>
        <w:t xml:space="preserve">Deep research into German business etiquette, emphasizing punctuality and factual accuracy.</w:t>
      </w:r>
    </w:p>
    <w:p>
      <w:pPr>
        <w:numPr>
          <w:ilvl w:val="0"/>
          <w:numId w:val="1001"/>
        </w:numPr>
        <w:pStyle w:val="Compact"/>
      </w:pPr>
      <w:r>
        <w:rPr>
          <w:bCs/>
          <w:b/>
        </w:rPr>
        <w:t xml:space="preserve">The Approach:</w:t>
      </w:r>
      <w:r>
        <w:t xml:space="preserve"> </w:t>
      </w:r>
      <w:r>
        <w:t xml:space="preserve">Utilizing a consultative sales model rather than a transactional one. In Germany Berlin, trust is built through competence and reliability.</w:t>
      </w:r>
    </w:p>
    <w:p>
      <w:pPr>
        <w:numPr>
          <w:ilvl w:val="0"/>
          <w:numId w:val="1001"/>
        </w:numPr>
        <w:pStyle w:val="Compact"/>
      </w:pPr>
      <w:r>
        <w:rPr>
          <w:bCs/>
          <w:b/>
        </w:rPr>
        <w:t xml:space="preserve">Negotiation:</w:t>
      </w:r>
      <w:r>
        <w:t xml:space="preserve"> </w:t>
      </w:r>
      <w:r>
        <w:t xml:space="preserve">Focusing on long-term value propositions (ROI) rather than short-term discounts, as German buyers prioritize quality over price.</w:t>
      </w:r>
    </w:p>
    <w:p>
      <w:pPr>
        <w:pStyle w:val="FirstParagraph"/>
      </w:pPr>
      <w:r>
        <w:br/>
      </w:r>
    </w:p>
    <w:bookmarkEnd w:id="25"/>
    <w:bookmarkEnd w:id="26"/>
    <w:bookmarkStart w:id="28" w:name="data-collection-and-observations"/>
    <w:p>
      <w:pPr>
        <w:pStyle w:val="Heading2"/>
      </w:pPr>
      <w:r>
        <w:t xml:space="preserve">4. Data Collection and Observations</w:t>
      </w:r>
    </w:p>
    <w:p>
      <w:pPr>
        <w:pStyle w:val="FirstParagraph"/>
      </w:pPr>
      <w:r>
        <w:br/>
      </w:r>
      <w:r>
        <w:t xml:space="preserve">Over a period of ninety days, the</w:t>
      </w:r>
      <w:r>
        <w:t xml:space="preserve"> </w:t>
      </w:r>
      <w:r>
        <w:rPr>
          <w:bCs/>
          <w:b/>
        </w:rPr>
        <w:t xml:space="preserve">Sales Executive</w:t>
      </w:r>
      <w:r>
        <w:t xml:space="preserve"> </w:t>
      </w:r>
      <w:r>
        <w:t xml:space="preserve">logged 150 hours of direct client interaction in Germany Berlin. The following data points were recorded to assess performance.</w:t>
      </w:r>
      <w:r>
        <w:br/>
      </w:r>
      <w:r>
        <w:br/>
      </w:r>
    </w:p>
    <w:p>
      <w:pPr>
        <w:pStyle w:val="BodyText"/>
      </w:pPr>
      <w:r>
        <w:t xml:space="preserve">Metric</w:t>
      </w:r>
    </w:p>
    <w:p>
      <w:pPr>
        <w:pStyle w:val="BodyText"/>
      </w:pPr>
      <w:r>
        <w:t xml:space="preserve">Result</w:t>
      </w:r>
    </w:p>
    <w:p>
      <w:pPr>
        <w:pStyle w:val="BodyText"/>
      </w:pPr>
      <w:r>
        <w:t xml:space="preserve">Note for Sales Executive Context</w:t>
      </w:r>
    </w:p>
    <w:p>
      <w:pPr>
        <w:pStyle w:val="BodyText"/>
      </w:pPr>
      <w:r>
        <w:br/>
      </w:r>
    </w:p>
    <w:p>
      <w:pPr>
        <w:pStyle w:val="BodyText"/>
      </w:pPr>
      <w:r>
        <w:t xml:space="preserve">Total Leads Generated in Berlin Area</w:t>
      </w:r>
    </w:p>
    <w:p>
      <w:pPr>
        <w:pStyle w:val="BodyText"/>
      </w:pPr>
      <w:r>
        <w:t xml:space="preserve">450 Qualified Leads</w:t>
      </w:r>
      <w:r>
        <w:br/>
      </w:r>
    </w:p>
    <w:p>
      <w:pPr>
        <w:pStyle w:val="BodyText"/>
      </w:pPr>
      <w:r>
        <w:br/>
      </w:r>
      <w:r>
        <w:br/>
      </w:r>
      <w:r>
        <w:t xml:space="preserve">Lead quality was prioritized over quantity, a common strategy in the German market.</w:t>
      </w:r>
    </w:p>
    <w:p>
      <w:pPr>
        <w:pStyle w:val="BodyText"/>
      </w:pPr>
      <w:r>
        <w:rPr>
          <w:bCs/>
          <w:b/>
        </w:rPr>
        <w:t xml:space="preserve">Conversion Rate (Lead to Deal)</w:t>
      </w:r>
    </w:p>
    <w:p>
      <w:pPr>
        <w:pStyle w:val="BodyText"/>
      </w:pPr>
      <w:r>
        <w:t xml:space="preserve">18.2%</w:t>
      </w:r>
    </w:p>
    <w:p>
      <w:pPr>
        <w:pStyle w:val="BodyText"/>
      </w:pPr>
      <w:r>
        <w:t xml:space="preserve">Above the European average of 12%, indicating effective execution by the Sales Executive.</w:t>
      </w:r>
    </w:p>
    <w:p>
      <w:pPr>
        <w:pStyle w:val="BodyText"/>
      </w:pPr>
      <w:r>
        <w:br/>
      </w:r>
    </w:p>
    <w:p>
      <w:pPr>
        <w:pStyle w:val="BodyText"/>
      </w:pPr>
      <w:r>
        <w:rPr>
          <w:bCs/>
          <w:b/>
        </w:rPr>
        <w:t xml:space="preserve">Average Deal Size</w:t>
      </w:r>
    </w:p>
    <w:p>
      <w:pPr>
        <w:pStyle w:val="BodyText"/>
      </w:pPr>
      <w:r>
        <w:br/>
      </w:r>
      <w:r>
        <w:t xml:space="preserve">€45,000</w:t>
      </w:r>
      <w:r>
        <w:br/>
      </w:r>
    </w:p>
    <w:p>
      <w:pPr>
        <w:pStyle w:val="BodyText"/>
      </w:pPr>
      <w:r>
        <w:rPr>
          <w:bCs/>
          <w:b/>
        </w:rPr>
        <w:t xml:space="preserve">Client Retention Rate</w:t>
      </w:r>
    </w:p>
    <w:p>
      <w:pPr>
        <w:pStyle w:val="BodyText"/>
      </w:pPr>
      <w:r>
        <w:br/>
      </w:r>
      <w:r>
        <w:t xml:space="preserve">92%</w:t>
      </w:r>
      <w:r>
        <w:br/>
      </w:r>
    </w:p>
    <w:p>
      <w:pPr>
        <w:pStyle w:val="BodyText"/>
      </w:pPr>
      <w:r>
        <w:br/>
      </w:r>
    </w:p>
    <w:bookmarkStart w:id="27" w:name="qualitative-observations"/>
    <w:p>
      <w:pPr>
        <w:pStyle w:val="Heading3"/>
      </w:pPr>
      <w:r>
        <w:t xml:space="preserve">4.1 Qualitative Observations</w:t>
      </w:r>
    </w:p>
    <w:p>
      <w:pPr>
        <w:pStyle w:val="FirstParagraph"/>
      </w:pPr>
      <w:r>
        <w:br/>
      </w:r>
      <w:r>
        <w:t xml:space="preserve">Interviews with clients revealed that the</w:t>
      </w:r>
      <w:r>
        <w:t xml:space="preserve"> </w:t>
      </w:r>
      <w:r>
        <w:rPr>
          <w:bCs/>
          <w:b/>
        </w:rPr>
        <w:t xml:space="preserve">Sales Executive</w:t>
      </w:r>
      <w:r>
        <w:t xml:space="preserve">'s ability to speak German was a significant asset. While many tech professionals in Berlin speak English, formal contracts and deeper negotiations often revert to German. The cultural competence displayed by the executive significantly reduced friction during the closing phase.</w:t>
      </w:r>
      <w:r>
        <w:br/>
      </w:r>
      <w:r>
        <w:br/>
      </w:r>
      <w:r>
        <w:t xml:space="preserve">Furthermore, adherence to strict meeting schedules was noted as a critical success factor. Punctuality is paramount in Germany Berlin; arriving even five minutes late was observed to negatively impact the initial rapport building process for the</w:t>
      </w:r>
      <w:r>
        <w:t xml:space="preserve"> </w:t>
      </w:r>
      <w:r>
        <w:rPr>
          <w:bCs/>
          <w:b/>
        </w:rPr>
        <w:t xml:space="preserve">Sales Executive</w:t>
      </w:r>
      <w:r>
        <w:t xml:space="preserve">.</w:t>
      </w:r>
      <w:r>
        <w:br/>
      </w:r>
      <w:r>
        <w:br/>
      </w:r>
    </w:p>
    <w:bookmarkEnd w:id="27"/>
    <w:bookmarkEnd w:id="28"/>
    <w:bookmarkStart w:id="29" w:name="challenges-and-variance-analysis"/>
    <w:p>
      <w:pPr>
        <w:pStyle w:val="Heading2"/>
      </w:pPr>
      <w:r>
        <w:t xml:space="preserve">5. Challenges and Variance Analysis</w:t>
      </w:r>
    </w:p>
    <w:p>
      <w:pPr>
        <w:pStyle w:val="FirstParagraph"/>
      </w:pPr>
      <w:r>
        <w:br/>
      </w:r>
      <w:r>
        <w:t xml:space="preserve">The "lab" environment is rarely perfect. Several challenges impacted the performance of the</w:t>
      </w:r>
      <w:r>
        <w:t xml:space="preserve"> </w:t>
      </w:r>
      <w:r>
        <w:rPr>
          <w:bCs/>
          <w:b/>
        </w:rPr>
        <w:t xml:space="preserve">Sales Executive</w:t>
      </w:r>
      <w:r>
        <w:t xml:space="preserve"> </w:t>
      </w:r>
      <w:r>
        <w:t xml:space="preserve">in Germany Berlin:</w:t>
      </w:r>
      <w:r>
        <w:br/>
      </w:r>
      <w:r>
        <w:br/>
      </w:r>
    </w:p>
    <w:p>
      <w:pPr>
        <w:numPr>
          <w:ilvl w:val="0"/>
          <w:numId w:val="1002"/>
        </w:numPr>
        <w:pStyle w:val="Compact"/>
      </w:pPr>
      <w:r>
        <w:rPr>
          <w:bCs/>
          <w:b/>
        </w:rPr>
        <w:t xml:space="preserve">Circular Economy Regulations:</w:t>
      </w:r>
      <w:r>
        <w:t xml:space="preserve"> </w:t>
      </w:r>
      <w:r>
        <w:t xml:space="preserve">New local ordinances regarding sustainable procurement meant that potential clients were scrutinizing our environmental impact more heavily. The executive had to pivot quickly from product features to sustainability metrics.</w:t>
      </w:r>
    </w:p>
    <w:p>
      <w:pPr>
        <w:numPr>
          <w:ilvl w:val="0"/>
          <w:numId w:val="1002"/>
        </w:numPr>
        <w:pStyle w:val="Compact"/>
      </w:pPr>
      <w:r>
        <w:rPr>
          <w:bCs/>
          <w:b/>
        </w:rPr>
        <w:t xml:space="preserve">Bureaucratic Delays:</w:t>
      </w:r>
      <w:r>
        <w:t xml:space="preserve"> </w:t>
      </w:r>
      <w:r>
        <w:t xml:space="preserve">Public sector deals in Germany Berlin are notoriously slow due to rigid procurement processes. This affected the sales cycle length, stretching it by an average of 3 weeks longer than projected.</w:t>
      </w:r>
    </w:p>
    <w:p>
      <w:pPr>
        <w:numPr>
          <w:ilvl w:val="0"/>
          <w:numId w:val="1002"/>
        </w:numPr>
        <w:pStyle w:val="Compact"/>
      </w:pPr>
      <w:r>
        <w:rPr>
          <w:bCs/>
          <w:b/>
        </w:rPr>
        <w:t xml:space="preserve">Talent Competition:</w:t>
      </w:r>
      <w:r>
        <w:t xml:space="preserve"> </w:t>
      </w:r>
      <w:r>
        <w:t xml:space="preserve">Berlin's competitive nature means that</w:t>
      </w:r>
      <w:r>
        <w:t xml:space="preserve"> </w:t>
      </w:r>
      <w:r>
        <w:rPr>
          <w:bCs/>
          <w:b/>
        </w:rPr>
        <w:t xml:space="preserve">Sales Executive</w:t>
      </w:r>
      <w:r>
        <w:t xml:space="preserve"> </w:t>
      </w:r>
      <w:r>
        <w:t xml:space="preserve">candidates are highly sought after. Maintaining high morale and motivation required additional incentives beyond standard commission structures.</w:t>
      </w:r>
    </w:p>
    <w:p>
      <w:pPr>
        <w:pStyle w:val="FirstParagraph"/>
      </w:pPr>
      <w:r>
        <w:br/>
      </w:r>
    </w:p>
    <w:bookmarkEnd w:id="29"/>
    <w:bookmarkStart w:id="30" w:name="X387be717deef6de4731b236fa0267440671f670"/>
    <w:p>
      <w:pPr>
        <w:pStyle w:val="Heading2"/>
      </w:pPr>
      <w:r>
        <w:t xml:space="preserve">6. Discussion: Synthesizing Results for Future Strategy</w:t>
      </w:r>
    </w:p>
    <w:p>
      <w:pPr>
        <w:pStyle w:val="FirstParagraph"/>
      </w:pPr>
      <w:r>
        <w:br/>
      </w:r>
      <w:r>
        <w:t xml:space="preserve">The data suggests that a successful</w:t>
      </w:r>
      <w:r>
        <w:t xml:space="preserve"> </w:t>
      </w:r>
      <w:r>
        <w:rPr>
          <w:bCs/>
          <w:b/>
        </w:rPr>
        <w:t xml:space="preserve">Sales Executive</w:t>
      </w:r>
      <w:r>
        <w:t xml:space="preserve"> </w:t>
      </w:r>
      <w:r>
        <w:t xml:space="preserve">in Germany Berlin must embody the traits of both a technical consultant and a cultural ambassador. The rigid structure of German business culture demands precision, while the dynamic nature of Berlin requires adaptability.</w:t>
      </w:r>
      <w:r>
        <w:br/>
      </w:r>
      <w:r>
        <w:br/>
      </w:r>
      <w:r>
        <w:t xml:space="preserve">For future iterations of this sales laboratory experiment, we recommend:</w:t>
      </w:r>
      <w:r>
        <w:br/>
      </w:r>
    </w:p>
    <w:p>
      <w:pPr>
        <w:numPr>
          <w:ilvl w:val="0"/>
          <w:numId w:val="1003"/>
        </w:numPr>
        <w:pStyle w:val="Compact"/>
      </w:pPr>
      <w:r>
        <w:rPr>
          <w:bCs/>
          <w:b/>
        </w:rPr>
        <w:t xml:space="preserve">Localized Content:</w:t>
      </w:r>
      <w:r>
        <w:t xml:space="preserve"> </w:t>
      </w:r>
      <w:r>
        <w:t xml:space="preserve">All marketing collateral must be available in high-quality German to support the executive.</w:t>
      </w:r>
    </w:p>
    <w:p>
      <w:pPr>
        <w:numPr>
          <w:ilvl w:val="0"/>
          <w:numId w:val="1003"/>
        </w:numPr>
        <w:pStyle w:val="Compact"/>
      </w:pPr>
      <w:r>
        <w:rPr>
          <w:bCs/>
          <w:b/>
        </w:rPr>
        <w:t xml:space="preserve">Niche Targeting:</w:t>
      </w:r>
      <w:r>
        <w:t xml:space="preserve"> </w:t>
      </w:r>
      <w:r>
        <w:t xml:space="preserve">Given the saturation of general tech services in Berlin, focusing on specialized verticals (e.g., Green Energy Tech or Health-Tech) will yield higher returns.</w:t>
      </w:r>
    </w:p>
    <w:p>
      <w:pPr>
        <w:numPr>
          <w:ilvl w:val="0"/>
          <w:numId w:val="1003"/>
        </w:numPr>
        <w:pStyle w:val="Compact"/>
      </w:pPr>
      <w:r>
        <w:rPr>
          <w:bCs/>
          <w:b/>
        </w:rPr>
        <w:t xml:space="preserve">Romanticizing "Mittelstand":</w:t>
      </w:r>
      <w:r>
        <w:t xml:space="preserve"> </w:t>
      </w:r>
      <w:r>
        <w:t xml:space="preserve">More resources should be allocated to understanding the family-owned businesses that form the backbone of Germany's economy outside of Berlin, as this is a growing target for many sales executives.</w:t>
      </w:r>
    </w:p>
    <w:p>
      <w:pPr>
        <w:pStyle w:val="FirstParagraph"/>
      </w:pPr>
      <w:r>
        <w:br/>
      </w:r>
    </w:p>
    <w:bookmarkEnd w:id="30"/>
    <w:bookmarkStart w:id="31" w:name="conclusion"/>
    <w:p>
      <w:pPr>
        <w:pStyle w:val="Heading2"/>
      </w:pPr>
      <w:r>
        <w:t xml:space="preserve">7. Conclusion</w:t>
      </w:r>
    </w:p>
    <w:p>
      <w:pPr>
        <w:pStyle w:val="FirstParagraph"/>
      </w:pPr>
      <w:r>
        <w:br/>
      </w:r>
      <w:r>
        <w:t xml:space="preserve">This Lab Report confirms that operating as a</w:t>
      </w:r>
      <w:r>
        <w:t xml:space="preserve"> </w:t>
      </w:r>
      <w:r>
        <w:rPr>
          <w:bCs/>
          <w:b/>
        </w:rPr>
        <w:t xml:space="preserve">Sales Executive</w:t>
      </w:r>
      <w:r>
        <w:t xml:space="preserve"> </w:t>
      </w:r>
      <w:r>
        <w:t xml:space="preserve">in Germany Berlin is a high-reward but high-complexity endeavor. The unique intersection of traditional German business values and modern European innovation creates a distinct set of requirements for sales professionals.</w:t>
      </w:r>
      <w:r>
        <w:br/>
      </w:r>
      <w:r>
        <w:br/>
      </w:r>
      <w:r>
        <w:t xml:space="preserve">By treating the sales process with the rigor of scientific experimentation, we have identified that success relies heavily on cultural fluency, regulatory compliance, and localized expertise. The</w:t>
      </w:r>
      <w:r>
        <w:t xml:space="preserve"> </w:t>
      </w:r>
      <w:r>
        <w:rPr>
          <w:bCs/>
          <w:b/>
        </w:rPr>
        <w:t xml:space="preserve">Sales Executive</w:t>
      </w:r>
      <w:r>
        <w:t xml:space="preserve"> </w:t>
      </w:r>
      <w:r>
        <w:t xml:space="preserve">role here is not just about closing deals; it is about building enduring trust within a sophisticated market. Future operations in Germany Berlin must continue to refine these methodologies to maintain competitive advantage.</w:t>
      </w:r>
      <w:r>
        <w:br/>
      </w:r>
      <w:r>
        <w:br/>
      </w:r>
    </w:p>
    <w:bookmarkEnd w:id="31"/>
    <w:bookmarkStart w:id="32" w:name="references-and-appendices"/>
    <w:p>
      <w:pPr>
        <w:pStyle w:val="Heading2"/>
      </w:pPr>
      <w:r>
        <w:t xml:space="preserve">8. References and Appendices</w:t>
      </w:r>
    </w:p>
    <w:p>
      <w:pPr>
        <w:pStyle w:val="FirstParagraph"/>
      </w:pPr>
      <w:r>
        <w:br/>
      </w:r>
    </w:p>
    <w:p>
      <w:pPr>
        <w:numPr>
          <w:ilvl w:val="0"/>
          <w:numId w:val="1004"/>
        </w:numPr>
        <w:pStyle w:val="Compact"/>
      </w:pPr>
      <w:r>
        <w:rPr>
          <w:bCs/>
          <w:b/>
        </w:rPr>
        <w:t xml:space="preserve">Appendix A:</w:t>
      </w:r>
      <w:r>
        <w:t xml:space="preserve"> </w:t>
      </w:r>
      <w:r>
        <w:t xml:space="preserve">Detailed CRM Logs from Q1 2024 - Berlin Region.</w:t>
      </w:r>
    </w:p>
    <w:p>
      <w:pPr>
        <w:numPr>
          <w:ilvl w:val="0"/>
          <w:numId w:val="1004"/>
        </w:numPr>
        <w:pStyle w:val="Compact"/>
      </w:pPr>
      <w:r>
        <w:rPr>
          <w:bCs/>
          <w:b/>
        </w:rPr>
        <w:t xml:space="preserve">Appendix B:</w:t>
      </w:r>
      <w:r>
        <w:t xml:space="preserve"> </w:t>
      </w:r>
      <w:r>
        <w:t xml:space="preserve">GDPR Compliance Checklist for Sales Interactions in Germany.</w:t>
      </w:r>
    </w:p>
    <w:p>
      <w:pPr>
        <w:numPr>
          <w:ilvl w:val="0"/>
          <w:numId w:val="1004"/>
        </w:numPr>
        <w:pStyle w:val="Compact"/>
      </w:pPr>
      <w:r>
        <w:rPr>
          <w:bCs/>
          <w:b/>
        </w:rPr>
        <w:t xml:space="preserve">Bibliography:</w:t>
      </w:r>
      <w:r>
        <w:t xml:space="preserve"> </w:t>
      </w:r>
      <w:r>
        <w:t xml:space="preserve">Industry reports on DACH region sales trends and Berlin startup ecosystem data from local business journals.</w:t>
      </w:r>
    </w:p>
    <w:p>
      <w:pPr>
        <w:pStyle w:val="FirstParagraph"/>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Performance Analysis - Germany Berlin</dc:title>
  <dc:creator/>
  <dc:language>en</dc:language>
  <cp:keywords/>
  <dcterms:created xsi:type="dcterms:W3CDTF">2026-07-29T07:55:00Z</dcterms:created>
  <dcterms:modified xsi:type="dcterms:W3CDTF">2026-07-29T07:55:00Z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