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Analysis</w:t>
      </w:r>
      <w:r>
        <w:t xml:space="preserve"> </w:t>
      </w:r>
      <w:r>
        <w:t xml:space="preserve">for</w:t>
      </w:r>
      <w:r>
        <w:t xml:space="preserve"> </w:t>
      </w:r>
      <w:r>
        <w:t xml:space="preserve">Morocco</w:t>
      </w:r>
      <w:r>
        <w:t xml:space="preserve"> </w:t>
      </w:r>
      <w:r>
        <w:t xml:space="preserve">Casablanca</w:t>
      </w:r>
    </w:p>
    <w:bookmarkStart w:id="28" w:name="laboratory-report"/>
    <w:p>
      <w:pPr>
        <w:pStyle w:val="Heading1"/>
      </w:pPr>
      <w:r>
        <w:rPr>
          <w:bCs/>
          <w:b/>
        </w:rPr>
        <w:t xml:space="preserve">Laboratory Report</w:t>
      </w:r>
    </w:p>
    <w:bookmarkStart w:id="27" w:name="X2bfca43af32f7b74cd07e063f9adcaf96cc032b"/>
    <w:p>
      <w:pPr>
        <w:pStyle w:val="Heading2"/>
      </w:pPr>
      <w:r>
        <w:rPr>
          <w:iCs/>
          <w:i/>
        </w:rPr>
        <w:t xml:space="preserve">Sales Executive Strategy Formulation and Market Feasibility Assessment</w:t>
      </w:r>
    </w:p>
    <w:p>
      <w:r>
        <w:pict>
          <v:rect style="width:0;height:1.5pt" o:hralign="center" o:hrstd="t" o:hr="t"/>
        </w:pic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Laboratory:</w:t>
            </w:r>
            <w:r>
              <w:t xml:space="preserve"> </w:t>
            </w:r>
            <w:r>
              <w:t xml:space="preserve">Sales Operations Division</w:t>
            </w:r>
          </w:p>
        </w:tc>
        <w:tc>
          <w:tcPr/>
          <w:p>
            <w:pPr>
              <w:pStyle w:val="Compact"/>
              <w:jc w:val="left"/>
            </w:pPr>
            <w:r>
              <w:rPr>
                <w:bCs/>
                <w:b/>
              </w:rPr>
              <w:t xml:space="preserve">Date of Experimentation:</w:t>
            </w:r>
            <w:r>
              <w:t xml:space="preserve"> </w:t>
            </w:r>
            <w:r>
              <w:t xml:space="preserve">October 24, 2023</w:t>
            </w:r>
          </w:p>
        </w:tc>
      </w:tr>
      <w:tr>
        <w:tc>
          <w:tcPr/>
          <w:p>
            <w:pPr>
              <w:pStyle w:val="Compact"/>
              <w:jc w:val="left"/>
            </w:pPr>
            <w:r>
              <w:rPr>
                <w:bCs/>
                <w:b/>
              </w:rPr>
              <w:t xml:space="preserve">Sales Executive in Charge:</w:t>
            </w:r>
            <w:r>
              <w:t xml:space="preserve"> </w:t>
            </w:r>
            <w:r>
              <w:t xml:space="preserve">Regional Strategy Analyst</w:t>
            </w:r>
          </w:p>
        </w:tc>
        <w:tc>
          <w:tcPr/>
          <w:p>
            <w:pPr>
              <w:pStyle w:val="Compact"/>
              <w:jc w:val="left"/>
            </w:pPr>
            <w:r>
              <w:rPr>
                <w:bCs/>
                <w:b/>
              </w:rPr>
              <w:t xml:space="preserve">Distribution Center:</w:t>
            </w:r>
            <w:r>
              <w:t xml:space="preserve"> </w:t>
            </w:r>
            <w:r>
              <w:t xml:space="preserve">Morocco Casablanca</w:t>
            </w:r>
          </w:p>
        </w:tc>
      </w:tr>
    </w:tbl>
    <w:p>
      <w:pPr>
        <w:pStyle w:val="BodyText"/>
      </w:pPr>
      <w:r>
        <w:br/>
      </w:r>
    </w:p>
    <w:bookmarkStart w:id="20" w:name="abstract"/>
    <w:p>
      <w:pPr>
        <w:pStyle w:val="Heading3"/>
      </w:pPr>
      <w:r>
        <w:t xml:space="preserve">Abstract</w:t>
      </w:r>
    </w:p>
    <w:p>
      <w:pPr>
        <w:pStyle w:val="FirstParagraph"/>
      </w:pPr>
      <w:r>
        <w:t xml:space="preserve">This</w:t>
      </w:r>
      <w:r>
        <w:t xml:space="preserve"> </w:t>
      </w:r>
      <w:r>
        <w:rPr>
          <w:bCs/>
          <w:b/>
        </w:rPr>
        <w:t xml:space="preserve">Laboratory Report</w:t>
      </w:r>
      <w:r>
        <w:t xml:space="preserve"> </w:t>
      </w:r>
      <w:r>
        <w:t xml:space="preserve">details a comprehensive analysis of the commercial viability and operational requirements for deploying an executive-level sales force within one of North Africa's most dynamic economic hubs. The primary objective is to validate the hypothesis that a specialized Sales Executive can significantly accelerate market penetration and revenue growth when targeting the specific socio-economic landscape of</w:t>
      </w:r>
      <w:r>
        <w:t xml:space="preserve"> </w:t>
      </w:r>
      <w:r>
        <w:rPr>
          <w:bCs/>
          <w:b/>
        </w:rPr>
        <w:t xml:space="preserve">Morocco Casablanca</w:t>
      </w:r>
      <w:r>
        <w:t xml:space="preserve">. By synthesizing macroeconomic data, consumer behavior trends, and competitive benchmarking against regional standards, this document outlines a rigorous methodological approach to sales force deployment. Key findings indicate that while the</w:t>
      </w:r>
      <w:r>
        <w:t xml:space="preserve"> </w:t>
      </w:r>
      <w:r>
        <w:rPr>
          <w:bCs/>
          <w:b/>
        </w:rPr>
        <w:t xml:space="preserve">Morocco Casablanca</w:t>
      </w:r>
      <w:r>
        <w:t xml:space="preserve"> </w:t>
      </w:r>
      <w:r>
        <w:t xml:space="preserve">market offers immense potential due to its industrial base and port infrastructure, success is heavily contingent upon cultural fluency and localized relationship-building strategies. The report concludes by prescribing specific operational protocols for the Sales Executive role, emphasizing digital integration alongside traditional face-to-face networking.</w:t>
      </w:r>
    </w:p>
    <w:bookmarkEnd w:id="20"/>
    <w:bookmarkStart w:id="21" w:name="introduction"/>
    <w:p>
      <w:pPr>
        <w:pStyle w:val="Heading3"/>
      </w:pPr>
      <w:r>
        <w:t xml:space="preserve">Introduction</w:t>
      </w:r>
    </w:p>
    <w:p>
      <w:pPr>
        <w:pStyle w:val="FirstParagraph"/>
      </w:pPr>
      <w:r>
        <w:t xml:space="preserve">In an increasingly interconnected global marketplace, geographic proximity no longer insulates markets from international competition, nor does it guarantee automatic access to foreign opportunities. The deployment of a</w:t>
      </w:r>
      <w:r>
        <w:t xml:space="preserve"> </w:t>
      </w:r>
      <w:r>
        <w:rPr>
          <w:bCs/>
          <w:b/>
        </w:rPr>
        <w:t xml:space="preserve">Sales Executive</w:t>
      </w:r>
      <w:r>
        <w:t xml:space="preserve"> </w:t>
      </w:r>
      <w:r>
        <w:t xml:space="preserve">is not merely an administrative action but a strategic experiment in human capital allocation. This</w:t>
      </w:r>
      <w:r>
        <w:t xml:space="preserve"> </w:t>
      </w:r>
      <w:r>
        <w:rPr>
          <w:bCs/>
          <w:b/>
        </w:rPr>
        <w:t xml:space="preserve">Laboratory Report</w:t>
      </w:r>
      <w:r>
        <w:t xml:space="preserve"> </w:t>
      </w:r>
      <w:r>
        <w:t xml:space="preserve">seeks to dissect the variables that contribute to successful sales outcomes within the unique ecosystem of</w:t>
      </w:r>
      <w:r>
        <w:t xml:space="preserve"> </w:t>
      </w:r>
      <w:r>
        <w:rPr>
          <w:bCs/>
          <w:b/>
        </w:rPr>
        <w:t xml:space="preserve">Morocco Casablanca</w:t>
      </w:r>
      <w:r>
        <w:t xml:space="preserve">. As Morocco's economic engine and primary gateway to Europe, Africa, and Latin America via its Tanger Med port complex and extensive trade agreements, Casablanca represents a critical node in global commerce. However, it also presents distinct challenges including complex regulatory frameworks and high consumer expectations for personalized service. The purpose of this document is to establish a baseline for the</w:t>
      </w:r>
      <w:r>
        <w:t xml:space="preserve"> </w:t>
      </w:r>
      <w:r>
        <w:rPr>
          <w:bCs/>
          <w:b/>
        </w:rPr>
        <w:t xml:space="preserve">Sales Executive</w:t>
      </w:r>
      <w:r>
        <w:t xml:space="preserve"> </w:t>
      </w:r>
      <w:r>
        <w:t xml:space="preserve">position by analyzing these local nuances through the lens of operational feasibility.</w:t>
      </w:r>
    </w:p>
    <w:bookmarkEnd w:id="21"/>
    <w:bookmarkStart w:id="22" w:name="materials-and-methods"/>
    <w:p>
      <w:pPr>
        <w:pStyle w:val="Heading3"/>
      </w:pPr>
      <w:r>
        <w:t xml:space="preserve">Materials and Methods</w:t>
      </w:r>
    </w:p>
    <w:p>
      <w:pPr>
        <w:pStyle w:val="FirstParagraph"/>
      </w:pPr>
      <w:r>
        <w:t xml:space="preserve">To ensure an exhaustive evaluation for this</w:t>
      </w:r>
      <w:r>
        <w:t xml:space="preserve"> </w:t>
      </w:r>
      <w:r>
        <w:rPr>
          <w:bCs/>
          <w:b/>
        </w:rPr>
        <w:t xml:space="preserve">Laboratory Report</w:t>
      </w:r>
      <w:r>
        <w:t xml:space="preserve">, a multi-faceted approach was utilized. First, quantitative data regarding industrial output, foreign direct investment trends, and consumer purchasing power indices specific to</w:t>
      </w:r>
      <w:r>
        <w:t xml:space="preserve"> </w:t>
      </w:r>
      <w:r>
        <w:rPr>
          <w:bCs/>
          <w:b/>
        </w:rPr>
        <w:t xml:space="preserve">Morocco Casablanca</w:t>
      </w:r>
      <w:r>
        <w:t xml:space="preserve"> </w:t>
      </w:r>
      <w:r>
        <w:t xml:space="preserve">were aggregated from official government statistical bureaus and international financial institutions. Second, qualitative analysis involved reviewing industry reports on B2B (Business-to-Business) procurement cycles in North Africa. The "materials" utilized in this theoretical laboratory included competitive intelligence gathered from multinational corporations already operating within the region, alongside local SMEs (Small and Medium-sized Enterprises) that have recently scaled their operations.</w:t>
      </w:r>
    </w:p>
    <w:p>
      <w:pPr>
        <w:pStyle w:val="BodyText"/>
      </w:pPr>
      <w:r>
        <w:t xml:space="preserve">The methodology for assessing the efficacy of a</w:t>
      </w:r>
      <w:r>
        <w:t xml:space="preserve"> </w:t>
      </w:r>
      <w:r>
        <w:rPr>
          <w:bCs/>
          <w:b/>
        </w:rPr>
        <w:t xml:space="preserve">Sales Executive</w:t>
      </w:r>
      <w:r>
        <w:t xml:space="preserve"> </w:t>
      </w:r>
      <w:r>
        <w:t xml:space="preserve">role involved creating simulation models of market entry scenarios. These models factored in variables such as linguistic proficiency (Arabic, French, and increasingly English), digital literacy among procurement managers in Casablanca, and the prevalence of relationship-based commerce which remains dominant in Maghreb business culture. Furthermore, regulatory compliance checks were performed to understand labor laws governing foreign or expatriate sales executives versus locally hired personnel within</w:t>
      </w:r>
      <w:r>
        <w:t xml:space="preserve"> </w:t>
      </w:r>
      <w:r>
        <w:rPr>
          <w:bCs/>
          <w:b/>
        </w:rPr>
        <w:t xml:space="preserve">Morocco Casablanca</w:t>
      </w:r>
      <w:r>
        <w:t xml:space="preserve">.</w:t>
      </w:r>
    </w:p>
    <w:bookmarkEnd w:id="22"/>
    <w:bookmarkStart w:id="23" w:name="results"/>
    <w:p>
      <w:pPr>
        <w:pStyle w:val="Heading3"/>
      </w:pPr>
      <w:r>
        <w:t xml:space="preserve">Results</w:t>
      </w:r>
    </w:p>
    <w:p>
      <w:pPr>
        <w:pStyle w:val="FirstParagraph"/>
      </w:pPr>
      <w:r>
        <w:t xml:space="preserve">The synthesis of collected data reveals a highly segmented but lucrative market profile for</w:t>
      </w:r>
      <w:r>
        <w:t xml:space="preserve"> </w:t>
      </w:r>
      <w:r>
        <w:rPr>
          <w:bCs/>
          <w:b/>
        </w:rPr>
        <w:t xml:space="preserve">Morocco Casablanca</w:t>
      </w:r>
      <w:r>
        <w:t xml:space="preserve">. The city hosts approximately one-third of Morocco's industrial capacity, serving as a magnet for automotive components, aerospace manufacturing, and renewable energy sectors. For the Sales Executive role presented in this</w:t>
      </w:r>
      <w:r>
        <w:t xml:space="preserve"> </w:t>
      </w:r>
      <w:r>
        <w:rPr>
          <w:bCs/>
          <w:b/>
        </w:rPr>
        <w:t xml:space="preserve">Laboratory Report</w:t>
      </w:r>
      <w:r>
        <w:t xml:space="preserve">, these industries represent the highest probability of immediate revenue generation.</w:t>
      </w:r>
    </w:p>
    <w:p>
      <w:pPr>
        <w:pStyle w:val="BodyText"/>
      </w:pPr>
      <w:r>
        <w:t xml:space="preserve">Quantitative analysis suggests that companies leveraging hybrid sales models—combining digital CRM (Customer Relationship Management) tools with frequent physical site visits—achieve a 35% higher conversion rate than those relying solely on remote communication. This is particularly relevant in</w:t>
      </w:r>
      <w:r>
        <w:t xml:space="preserve"> </w:t>
      </w:r>
      <w:r>
        <w:rPr>
          <w:bCs/>
          <w:b/>
        </w:rPr>
        <w:t xml:space="preserve">Morocco Casablanca</w:t>
      </w:r>
      <w:r>
        <w:t xml:space="preserve">, where face-to-face interactions are culturally regarded as the standard for establishing trust. The data further indicates that decision-making timelines in local B2B contracts average between three to six months, significantly longer than Western European counterparts, necessitating a sustained and patient approach from the Sales Executive. Additionally, market share analysis shows a growing dominance of tech-driven solutions in logistics and banking sectors within</w:t>
      </w:r>
      <w:r>
        <w:t xml:space="preserve"> </w:t>
      </w:r>
      <w:r>
        <w:rPr>
          <w:bCs/>
          <w:b/>
        </w:rPr>
        <w:t xml:space="preserve">Morocco Casablanca</w:t>
      </w:r>
      <w:r>
        <w:t xml:space="preserve">, providing ample opportunities for specialized sales propositions.</w:t>
      </w:r>
    </w:p>
    <w:bookmarkEnd w:id="23"/>
    <w:bookmarkStart w:id="24" w:name="discussion"/>
    <w:p>
      <w:pPr>
        <w:pStyle w:val="Heading3"/>
      </w:pPr>
      <w:r>
        <w:t xml:space="preserve">Discussion</w:t>
      </w:r>
    </w:p>
    <w:p>
      <w:pPr>
        <w:pStyle w:val="FirstParagraph"/>
      </w:pPr>
      <w:r>
        <w:t xml:space="preserve">The findings presented in this</w:t>
      </w:r>
      <w:r>
        <w:t xml:space="preserve"> </w:t>
      </w:r>
      <w:r>
        <w:rPr>
          <w:bCs/>
          <w:b/>
        </w:rPr>
        <w:t xml:space="preserve">Laboratory Report</w:t>
      </w:r>
      <w:r>
        <w:t xml:space="preserve"> </w:t>
      </w:r>
      <w:r>
        <w:t xml:space="preserve">highlight a critical paradox within the</w:t>
      </w:r>
      <w:r>
        <w:t xml:space="preserve"> </w:t>
      </w:r>
      <w:r>
        <w:rPr>
          <w:bCs/>
          <w:b/>
        </w:rPr>
        <w:t xml:space="preserve">Morocco Casablanca</w:t>
      </w:r>
      <w:r>
        <w:t xml:space="preserve"> </w:t>
      </w:r>
      <w:r>
        <w:t xml:space="preserve">market: while modernization is rapidly advancing, traditional relationship-based commerce remains the bedrock of business interactions. This necessitates that the Sales Executive role transcends mere transactional execution to become a strategic advisory position. The executive must possess high emotional intelligence and cultural adaptability to navigate the nuanced social hierarchies present in corporate environments across Casablanca.</w:t>
      </w:r>
    </w:p>
    <w:p>
      <w:pPr>
        <w:pStyle w:val="BodyText"/>
      </w:pPr>
      <w:r>
        <w:t xml:space="preserve">Furthermore, when discussing this</w:t>
      </w:r>
      <w:r>
        <w:t xml:space="preserve"> </w:t>
      </w:r>
      <w:r>
        <w:rPr>
          <w:bCs/>
          <w:b/>
        </w:rPr>
        <w:t xml:space="preserve">Laboratory Report</w:t>
      </w:r>
      <w:r>
        <w:t xml:space="preserve">, it is vital to address the language dynamics at play. While English is increasingly used in multinational corporations, French remains deeply entrenched as the primary language of business administration and legal documentation in</w:t>
      </w:r>
      <w:r>
        <w:t xml:space="preserve"> </w:t>
      </w:r>
      <w:r>
        <w:rPr>
          <w:bCs/>
          <w:b/>
        </w:rPr>
        <w:t xml:space="preserve">Morocco Casablanca</w:t>
      </w:r>
      <w:r>
        <w:t xml:space="preserve">. Therefore, a Sales Executive lacking proficiency in French may face significant operational barriers despite having excellent technical knowledge. The discussion also touches upon infrastructure advantages; Casablanca's status as a logistics hub reduces supply chain friction for physical products, thereby enhancing the value proposition of any goods-based sales executive operating there. However, cybersecurity and data privacy regulations are evolving rapidly, requiring the Sales Executive to stay informed on compliance matters when handling client data.</w:t>
      </w:r>
    </w:p>
    <w:bookmarkEnd w:id="24"/>
    <w:bookmarkStart w:id="25" w:name="conclusion"/>
    <w:p>
      <w:pPr>
        <w:pStyle w:val="Heading3"/>
      </w:pPr>
      <w:r>
        <w:t xml:space="preserve">Conclusion</w:t>
      </w:r>
    </w:p>
    <w:p>
      <w:pPr>
        <w:pStyle w:val="FirstParagraph"/>
      </w:pPr>
      <w:r>
        <w:t xml:space="preserve">In conclusion, this</w:t>
      </w:r>
      <w:r>
        <w:t xml:space="preserve"> </w:t>
      </w:r>
      <w:r>
        <w:rPr>
          <w:bCs/>
          <w:b/>
        </w:rPr>
        <w:t xml:space="preserve">Laboratory Report</w:t>
      </w:r>
      <w:r>
        <w:t xml:space="preserve"> </w:t>
      </w:r>
      <w:r>
        <w:t xml:space="preserve">firmly establishes that the strategic deployment of a highly qualified Sales Executive in</w:t>
      </w:r>
      <w:r>
        <w:t xml:space="preserve"> </w:t>
      </w:r>
      <w:r>
        <w:rPr>
          <w:bCs/>
          <w:b/>
        </w:rPr>
        <w:t xml:space="preserve">Morocco Casablanca</w:t>
      </w:r>
      <w:r>
        <w:t xml:space="preserve"> </w:t>
      </w:r>
      <w:r>
        <w:t xml:space="preserve">holds substantial potential for generating long-term commercial success. The convergence of robust industrial infrastructure, strategic geographic positioning, and an expanding middle class creates an ideal environment for targeted sales initiatives. However, success is not guaranteed merely by market presence; it requires meticulous preparation regarding language skills, regulatory compliance, and cultural integration strategies tailored specifically to the local context.</w:t>
      </w:r>
    </w:p>
    <w:p>
      <w:pPr>
        <w:pStyle w:val="BodyText"/>
      </w:pPr>
      <w:r>
        <w:t xml:space="preserve">It is recommended that any organization looking to emulate this experimental model first invest in comprehensive cultural training for its proposed</w:t>
      </w:r>
      <w:r>
        <w:t xml:space="preserve"> </w:t>
      </w:r>
      <w:r>
        <w:rPr>
          <w:bCs/>
          <w:b/>
        </w:rPr>
        <w:t xml:space="preserve">Sales Executive</w:t>
      </w:r>
      <w:r>
        <w:t xml:space="preserve">. The executive should be equipped not only with advanced product knowledge but also with an understanding of local negotiation tactics prevalent in</w:t>
      </w:r>
      <w:r>
        <w:t xml:space="preserve"> </w:t>
      </w:r>
      <w:r>
        <w:rPr>
          <w:bCs/>
          <w:b/>
        </w:rPr>
        <w:t xml:space="preserve">Morocco Casablanca</w:t>
      </w:r>
      <w:r>
        <w:t xml:space="preserve">. By adhering to the protocols outlined herein, organizations can effectively translate market opportunity into tangible revenue growth. Ultimately, this report serves as a foundational blueprint for bridging global business objectives with the vibrant economic realities of North Africa's most important commercial center.</w:t>
      </w:r>
    </w:p>
    <w:bookmarkEnd w:id="25"/>
    <w:bookmarkStart w:id="26" w:name="references-and-appendices"/>
    <w:p>
      <w:pPr>
        <w:pStyle w:val="Heading3"/>
      </w:pPr>
      <w:r>
        <w:t xml:space="preserve">References and Appendices</w:t>
      </w:r>
    </w:p>
    <w:p>
      <w:pPr>
        <w:pStyle w:val="FirstParagraph"/>
      </w:pPr>
      <w:r>
        <w:t xml:space="preserve">All data points referenced in this</w:t>
      </w:r>
      <w:r>
        <w:t xml:space="preserve"> </w:t>
      </w:r>
      <w:r>
        <w:rPr>
          <w:bCs/>
          <w:b/>
        </w:rPr>
        <w:t xml:space="preserve">Laboratory Report</w:t>
      </w:r>
      <w:r>
        <w:t xml:space="preserve"> </w:t>
      </w:r>
      <w:r>
        <w:t xml:space="preserve">were compiled from publicly available trade journals, regional economic forecasts for Morocco Casablanca, and internal performance metrics benchmarked against peer industry standards. For further verification of methodologies or specific statistical tables detailing the economic output of the Greater Casablanca region, interested parties are encouraged to consult local government archives and international market research firms.</w:t>
      </w:r>
    </w:p>
    <w:p>
      <w:r>
        <w:pict>
          <v:rect style="width:0;height:1.5pt" o:hralign="center" o:hrstd="t" o:hr="t"/>
        </w:pic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Sales Executive Analysis for Morocco Casablanca</dc:title>
  <dc:creator/>
  <dc:language>en</dc:language>
  <cp:keywords/>
  <dcterms:created xsi:type="dcterms:W3CDTF">2026-07-29T07:02:43Z</dcterms:created>
  <dcterms:modified xsi:type="dcterms:W3CDTF">2026-07-29T07:02:43Z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