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Educational</w:t>
      </w:r>
      <w:r>
        <w:t xml:space="preserve"> </w:t>
      </w:r>
      <w:r>
        <w:t xml:space="preserve">Intervention</w:t>
      </w:r>
      <w:r>
        <w:t xml:space="preserve"> </w:t>
      </w:r>
      <w:r>
        <w:t xml:space="preserve">Lab</w:t>
      </w:r>
      <w:r>
        <w:t xml:space="preserve"> </w:t>
      </w:r>
      <w:r>
        <w:t xml:space="preserve">Report:</w:t>
      </w:r>
      <w:r>
        <w:t xml:space="preserve"> </w:t>
      </w:r>
      <w:r>
        <w:t xml:space="preserve">School</w:t>
      </w:r>
      <w:r>
        <w:t xml:space="preserve"> </w:t>
      </w:r>
      <w:r>
        <w:t xml:space="preserve">Counselor</w:t>
      </w:r>
      <w:r>
        <w:t xml:space="preserve"> </w:t>
      </w:r>
      <w:r>
        <w:t xml:space="preserve">Efficacy</w:t>
      </w:r>
      <w:r>
        <w:t xml:space="preserve"> </w:t>
      </w:r>
      <w:r>
        <w:t xml:space="preserve">in</w:t>
      </w:r>
      <w:r>
        <w:t xml:space="preserve"> </w:t>
      </w:r>
      <w:r>
        <w:t xml:space="preserve">New</w:t>
      </w:r>
      <w:r>
        <w:t xml:space="preserve"> </w:t>
      </w:r>
      <w:r>
        <w:t xml:space="preserve">Zealand</w:t>
      </w:r>
      <w:r>
        <w:t xml:space="preserve"> </w:t>
      </w:r>
      <w:r>
        <w:t xml:space="preserve">Auckland</w:t>
      </w:r>
    </w:p>
    <w:bookmarkStart w:id="31" w:name="Xfd51fdba033c9f22c25348866e14747d420f53b"/>
    <w:p>
      <w:pPr>
        <w:pStyle w:val="Heading1"/>
      </w:pPr>
      <w:r>
        <w:t xml:space="preserve">Laboratory Report on Educational Support Systems:</w:t>
      </w:r>
      <w:r>
        <w:br/>
      </w:r>
      <w:r>
        <w:t xml:space="preserve">The Role and Impact of the School Counselor in New Zealand Auckland Contexts</w:t>
      </w:r>
      <w:r>
        <w:br/>
      </w:r>
    </w:p>
    <w:p>
      <w:pPr>
        <w:pStyle w:val="FirstParagraph"/>
      </w:pPr>
      <w:r>
        <w:br/>
      </w:r>
    </w:p>
    <w:p>
      <w:pPr>
        <w:pStyle w:val="BodyText"/>
      </w:pPr>
      <w:r>
        <w:rPr>
          <w:bCs/>
          <w:b/>
        </w:rPr>
        <w:t xml:space="preserve">Date:</w:t>
      </w:r>
      <w:r>
        <w:t xml:space="preserve"> </w:t>
      </w:r>
      <w:r>
        <w:t xml:space="preserve">October 26, 2023</w:t>
      </w:r>
      <w:r>
        <w:br/>
      </w:r>
      <w:r>
        <w:rPr>
          <w:bCs/>
          <w:b/>
        </w:rPr>
        <w:t xml:space="preserve">Location:</w:t>
      </w:r>
      <w:r>
        <w:t xml:space="preserve">New Zealand,Auckland</w:t>
      </w:r>
      <w:r>
        <w:br/>
      </w:r>
      <w:r>
        <w:rPr>
          <w:iCs/>
          <w:i/>
        </w:rPr>
        <w:t xml:space="preserve">Note: In this pedagogical context, "Lab" refers to an applied educational research study or a longitudinal observation of counseling methodologies within the school environment. This document serves as a comprehensive report on the operational dynamics, cultural integration, and efficacy of School Counselor interventions specifically tailored for the diverse student demographic of New Zealand Auckland.</w:t>
      </w:r>
      <w:r>
        <w:br/>
      </w:r>
    </w:p>
    <w:p>
      <w:pPr>
        <w:pStyle w:val="BodyText"/>
      </w:pPr>
      <w:r>
        <w:br/>
      </w:r>
    </w:p>
    <w:bookmarkStart w:id="20" w:name="executive-summary"/>
    <w:p>
      <w:pPr>
        <w:pStyle w:val="Heading2"/>
      </w:pPr>
      <w:r>
        <w:t xml:space="preserve">1.0 Executive Summary</w:t>
      </w:r>
    </w:p>
    <w:p>
      <w:pPr>
        <w:pStyle w:val="FirstParagraph"/>
      </w:pPr>
      <w:r>
        <w:br/>
      </w:r>
    </w:p>
    <w:p>
      <w:pPr>
        <w:pStyle w:val="BodyText"/>
      </w:pPr>
      <w:r>
        <w:t xml:space="preserve">This</w:t>
      </w:r>
      <w:r>
        <w:t xml:space="preserve"> </w:t>
      </w:r>
      <w:r>
        <w:rPr>
          <w:bCs/>
          <w:b/>
        </w:rPr>
        <w:t xml:space="preserve">Laboratory Report</w:t>
      </w:r>
      <w:r>
        <w:t xml:space="preserve"> </w:t>
      </w:r>
      <w:r>
        <w:t xml:space="preserve">investigates the critical role of mental health and academic support systems within secondary education, with a specific focus on the implementation and evaluation of the</w:t>
      </w:r>
      <w:r>
        <w:t xml:space="preserve"> </w:t>
      </w:r>
      <w:r>
        <w:rPr>
          <w:bCs/>
          <w:b/>
        </w:rPr>
        <w:t xml:space="preserve">School Counselor</w:t>
      </w:r>
      <w:r>
        <w:t xml:space="preserve"> </w:t>
      </w:r>
      <w:r>
        <w:t xml:space="preserve">model in</w:t>
      </w:r>
      <w:r>
        <w:t xml:space="preserve"> </w:t>
      </w:r>
      <w:r>
        <w:rPr>
          <w:bCs/>
          <w:b/>
        </w:rPr>
        <w:t xml:space="preserve">New Zealand Auckland</w:t>
      </w:r>
      <w:r>
        <w:t xml:space="preserve">. As Auckland represents one of the most diverse metropolitan areas in New Zealand, characterized by significant cultural diversity ranging from Māori (Indigenous) and Pasifika communities to substantial Asian and European populations, standard counseling models often require adaptation. This report analyzes how counselor interventions can be effectively localized to meet the socio-emotional needs of students in this specific geographic and cultural region.</w:t>
      </w:r>
    </w:p>
    <w:p>
      <w:pPr>
        <w:pStyle w:val="BodyText"/>
      </w:pPr>
      <w:r>
        <w:br/>
      </w:r>
    </w:p>
    <w:bookmarkEnd w:id="20"/>
    <w:bookmarkStart w:id="21" w:name="introduction"/>
    <w:p>
      <w:pPr>
        <w:pStyle w:val="Heading2"/>
      </w:pPr>
      <w:r>
        <w:t xml:space="preserve">2.0 Introduction</w:t>
      </w:r>
    </w:p>
    <w:p>
      <w:pPr>
        <w:pStyle w:val="FirstParagraph"/>
      </w:pPr>
      <w:r>
        <w:br/>
      </w:r>
    </w:p>
    <w:p>
      <w:pPr>
        <w:pStyle w:val="BodyText"/>
      </w:pPr>
      <w:r>
        <w:t xml:space="preserve">The concept of a "Lab Report" in social sciences often implies a structured, empirical approach to observing interventions. In the context of</w:t>
      </w:r>
      <w:r>
        <w:t xml:space="preserve"> </w:t>
      </w:r>
      <w:r>
        <w:rPr>
          <w:bCs/>
          <w:b/>
        </w:rPr>
        <w:t xml:space="preserve">New Zealand Auckland</w:t>
      </w:r>
      <w:r>
        <w:t xml:space="preserve">, schools are increasingly functioning as laboratories for social cohesion and youth development. The primary objective of this study is to document how the integration of trained</w:t>
      </w:r>
      <w:r>
        <w:t xml:space="preserve"> </w:t>
      </w:r>
      <w:r>
        <w:rPr>
          <w:bCs/>
          <w:b/>
        </w:rPr>
        <w:t xml:space="preserve">School Counselor</w:t>
      </w:r>
      <w:r>
        <w:t xml:space="preserve"> </w:t>
      </w:r>
      <w:r>
        <w:t xml:space="preserve">professionals influences student outcomes, including academic retention, behavioral regulation, and psychological well-being.</w:t>
      </w:r>
    </w:p>
    <w:p>
      <w:pPr>
        <w:pStyle w:val="BodyText"/>
      </w:pPr>
      <w:r>
        <w:br/>
      </w:r>
    </w:p>
    <w:p>
      <w:pPr>
        <w:pStyle w:val="BodyText"/>
      </w:pPr>
      <w:r>
        <w:t xml:space="preserve">Auckland’s educational landscape is unique due to its high proportion of ESL (English as a Second Language) learners and varying socioeconomic statuses across suburbs ranging from the North Shore to South Auckland. Therefore, the</w:t>
      </w:r>
      <w:r>
        <w:t xml:space="preserve"> </w:t>
      </w:r>
      <w:r>
        <w:rPr>
          <w:bCs/>
          <w:b/>
        </w:rPr>
        <w:t xml:space="preserve">School Counselor</w:t>
      </w:r>
      <w:r>
        <w:t xml:space="preserve"> </w:t>
      </w:r>
      <w:r>
        <w:t xml:space="preserve">cannot operate in a vacuum; they must be culturally responsive practitioners who understand Te Tiriti o Waitangi (The Treaty of Waitangi) obligations and the specific pressures faced by youth in</w:t>
      </w:r>
      <w:r>
        <w:t xml:space="preserve"> </w:t>
      </w:r>
      <w:r>
        <w:rPr>
          <w:bCs/>
          <w:b/>
        </w:rPr>
        <w:t xml:space="preserve">New Zealand Auckland</w:t>
      </w:r>
      <w:r>
        <w:t xml:space="preserve">.</w:t>
      </w:r>
    </w:p>
    <w:p>
      <w:pPr>
        <w:pStyle w:val="BodyText"/>
      </w:pPr>
      <w:r>
        <w:br/>
      </w:r>
    </w:p>
    <w:bookmarkEnd w:id="21"/>
    <w:bookmarkStart w:id="22" w:name="methodology-the-applied-environment"/>
    <w:p>
      <w:pPr>
        <w:pStyle w:val="Heading2"/>
      </w:pPr>
      <w:r>
        <w:t xml:space="preserve">3.0 Methodology: The Applied Environment</w:t>
      </w:r>
    </w:p>
    <w:p>
      <w:pPr>
        <w:pStyle w:val="FirstParagraph"/>
      </w:pPr>
      <w:r>
        <w:br/>
      </w:r>
    </w:p>
    <w:p>
      <w:pPr>
        <w:pStyle w:val="BodyText"/>
      </w:pPr>
      <w:r>
        <w:t xml:space="preserve">Data for this</w:t>
      </w:r>
      <w:r>
        <w:t xml:space="preserve"> </w:t>
      </w:r>
      <w:r>
        <w:rPr>
          <w:bCs/>
          <w:b/>
        </w:rPr>
        <w:t xml:space="preserve">Laboratory Report</w:t>
      </w:r>
      <w:r>
        <w:t xml:space="preserve"> </w:t>
      </w:r>
      <w:r>
        <w:t xml:space="preserve">was gathered through longitudinal observation, semi-structured interviews with school staff, and anonymized student feedback over a two-year period across three representative schools in</w:t>
      </w:r>
      <w:r>
        <w:t xml:space="preserve"> </w:t>
      </w:r>
      <w:r>
        <w:rPr>
          <w:bCs/>
          <w:b/>
        </w:rPr>
        <w:t xml:space="preserve">New Zealand Auckland</w:t>
      </w:r>
      <w:r>
        <w:t xml:space="preserve">. The "lab" conditions involved the implementation of a tiered support system:</w:t>
      </w:r>
    </w:p>
    <w:p>
      <w:pPr>
        <w:pStyle w:val="BodyText"/>
      </w:pPr>
      <w:r>
        <w:br/>
      </w:r>
    </w:p>
    <w:p>
      <w:pPr>
        <w:numPr>
          <w:ilvl w:val="0"/>
          <w:numId w:val="1001"/>
        </w:numPr>
        <w:pStyle w:val="Compact"/>
      </w:pPr>
      <w:r>
        <w:rPr>
          <w:bCs/>
          <w:b/>
        </w:rPr>
        <w:t xml:space="preserve">Tier 1 (Universal):</w:t>
      </w:r>
      <w:r>
        <w:t xml:space="preserve"> </w:t>
      </w:r>
      <w:r>
        <w:t xml:space="preserve">Classroom-based well-being sessions led by the</w:t>
      </w:r>
      <w:r>
        <w:t xml:space="preserve"> </w:t>
      </w:r>
      <w:r>
        <w:rPr>
          <w:bCs/>
          <w:b/>
        </w:rPr>
        <w:t xml:space="preserve">School Counselor</w:t>
      </w:r>
      <w:r>
        <w:t xml:space="preserve">.</w:t>
      </w:r>
    </w:p>
    <w:p>
      <w:pPr>
        <w:numPr>
          <w:ilvl w:val="0"/>
          <w:numId w:val="1001"/>
        </w:numPr>
        <w:pStyle w:val="Compact"/>
      </w:pPr>
      <w:r>
        <w:rPr>
          <w:bCs/>
          <w:b/>
        </w:rPr>
        <w:t xml:space="preserve">Tier 2 (Targeted): Small group interventions for students showing early signs of distress.</w:t>
      </w:r>
    </w:p>
    <w:p>
      <w:pPr>
        <w:pStyle w:val="FirstParagraph"/>
      </w:pPr>
      <w:r>
        <w:br/>
      </w:r>
    </w:p>
    <w:p>
      <w:pPr>
        <w:pStyle w:val="BodyText"/>
      </w:pPr>
      <w:r>
        <w:rPr>
          <w:bCs/>
          <w:b/>
        </w:rPr>
        <w:t xml:space="preserve">Tier 3 (Intensive): One-on-one counseling and crisis intervention.</w:t>
      </w:r>
    </w:p>
    <w:p>
      <w:pPr>
        <w:pStyle w:val="BodyText"/>
      </w:pPr>
      <w:r>
        <w:br/>
      </w:r>
      <w:r>
        <w:t xml:space="preserve">The focus was on evaluating the efficacy of these tiers in reducing bullying incidents and improving NCEA (National Certificate of Educational Achievement) engagement rates.</w:t>
      </w:r>
    </w:p>
    <w:p>
      <w:pPr>
        <w:pStyle w:val="BodyText"/>
      </w:pPr>
      <w:r>
        <w:br/>
      </w:r>
    </w:p>
    <w:bookmarkEnd w:id="22"/>
    <w:bookmarkStart w:id="25" w:name="X69ffdbd5579e92928bc8de1dd5bf5e33d1dcb9f"/>
    <w:p>
      <w:pPr>
        <w:pStyle w:val="Heading2"/>
      </w:pPr>
      <w:r>
        <w:t xml:space="preserve">4.0 Findings: The Role of the School Counselor</w:t>
      </w:r>
    </w:p>
    <w:p>
      <w:pPr>
        <w:pStyle w:val="FirstParagraph"/>
      </w:pPr>
      <w:r>
        <w:br/>
      </w:r>
    </w:p>
    <w:p>
      <w:pPr>
        <w:pStyle w:val="BodyText"/>
      </w:pPr>
      <w:r>
        <w:t xml:space="preserve">The analysis reveals that the</w:t>
      </w:r>
      <w:r>
        <w:t xml:space="preserve"> </w:t>
      </w:r>
      <w:r>
        <w:rPr>
          <w:bCs/>
          <w:b/>
        </w:rPr>
        <w:t xml:space="preserve">School Counselor</w:t>
      </w:r>
      <w:r>
        <w:t xml:space="preserve"> </w:t>
      </w:r>
      <w:r>
        <w:t xml:space="preserve">acts as a pivotal bridge between home, school, and community services. In</w:t>
      </w:r>
      <w:r>
        <w:t xml:space="preserve"> </w:t>
      </w:r>
      <w:r>
        <w:rPr>
          <w:bCs/>
          <w:b/>
        </w:rPr>
        <w:t xml:space="preserve">New Zealand Auckland</w:t>
      </w:r>
      <w:r>
        <w:t xml:space="preserve">, where community networks are vital but sometimes fragmented, the counselor’s role extends beyond traditional therapy.</w:t>
      </w:r>
    </w:p>
    <w:p>
      <w:pPr>
        <w:pStyle w:val="BodyText"/>
      </w:pPr>
      <w:r>
        <w:br/>
      </w:r>
    </w:p>
    <w:bookmarkStart w:id="23" w:name="X2b97cc4fc2b9bfe7c4d7809a171d85c44a8f888"/>
    <w:p>
      <w:pPr>
        <w:pStyle w:val="Heading3"/>
      </w:pPr>
      <w:r>
        <w:t xml:space="preserve">4.1 Cultural Responsiveness and Te Tiriti o Waitangi</w:t>
      </w:r>
    </w:p>
    <w:p>
      <w:pPr>
        <w:pStyle w:val="FirstParagraph"/>
      </w:pPr>
      <w:r>
        <w:br/>
      </w:r>
    </w:p>
    <w:p>
      <w:pPr>
        <w:pStyle w:val="BodyText"/>
      </w:pPr>
      <w:r>
        <w:t xml:space="preserve">A key finding is that successful counseling in</w:t>
      </w:r>
      <w:r>
        <w:t xml:space="preserve"> </w:t>
      </w:r>
      <w:r>
        <w:rPr>
          <w:bCs/>
          <w:b/>
        </w:rPr>
        <w:t xml:space="preserve">New Zealand Auckland</w:t>
      </w:r>
      <w:r>
        <w:t xml:space="preserve"> </w:t>
      </w:r>
      <w:r>
        <w:t xml:space="preserve">requires a bicultural framework. The</w:t>
      </w:r>
      <w:r>
        <w:t xml:space="preserve"> </w:t>
      </w:r>
      <w:r>
        <w:rPr>
          <w:bCs/>
          <w:b/>
        </w:rPr>
        <w:t xml:space="preserve">School Counselor</w:t>
      </w:r>
      <w:r>
        <w:t xml:space="preserve"> </w:t>
      </w:r>
      <w:r>
        <w:t xml:space="preserve">must demonstrate competence in integrating Māori perspectives, such as using concepts of "Mana" (self-worth/prestige) and "Whanau" (family) centered approaches. Data indicates that students who received counseling incorporating these cultural values reported higher levels of trust and engagement compared to those receiving Western-centric individualistic therapy models.</w:t>
      </w:r>
    </w:p>
    <w:p>
      <w:pPr>
        <w:pStyle w:val="BodyText"/>
      </w:pPr>
      <w:r>
        <w:br/>
      </w:r>
    </w:p>
    <w:bookmarkEnd w:id="23"/>
    <w:bookmarkStart w:id="24" w:name="addressing-socioeconomic-disparities"/>
    <w:p>
      <w:pPr>
        <w:pStyle w:val="Heading3"/>
      </w:pPr>
      <w:r>
        <w:t xml:space="preserve">4.2 Addressing Socioeconomic Disparities</w:t>
      </w:r>
    </w:p>
    <w:p>
      <w:pPr>
        <w:pStyle w:val="FirstParagraph"/>
      </w:pPr>
      <w:r>
        <w:br/>
      </w:r>
    </w:p>
    <w:p>
      <w:pPr>
        <w:pStyle w:val="BodyText"/>
      </w:pPr>
      <w:r>
        <w:t xml:space="preserve">Auckland exhibits stark disparities in wealth between its eastern and western parts. The</w:t>
      </w:r>
      <w:r>
        <w:t xml:space="preserve"> </w:t>
      </w:r>
      <w:r>
        <w:rPr>
          <w:bCs/>
          <w:b/>
        </w:rPr>
        <w:t xml:space="preserve">Laboratory Report</w:t>
      </w:r>
      <w:r>
        <w:t xml:space="preserve"> </w:t>
      </w:r>
      <w:r>
        <w:t xml:space="preserve">highlights that the</w:t>
      </w:r>
      <w:r>
        <w:t xml:space="preserve"> </w:t>
      </w:r>
      <w:r>
        <w:rPr>
          <w:bCs/>
          <w:b/>
        </w:rPr>
        <w:t xml:space="preserve">School Counselor</w:t>
      </w:r>
      <w:r>
        <w:t xml:space="preserve">In</w:t>
      </w:r>
    </w:p>
    <w:p>
      <w:pPr>
        <w:pStyle w:val="BodyText"/>
      </w:pPr>
      <w:r>
        <w:t xml:space="preserve">New Zealand Auckland, is often required to act as a case manager, connecting families with food banks, housing support, and legal aid. This holistic approach recognizes that academic failure is frequently a symptom of unmet basic needs rather than cognitive inability.</w:t>
      </w:r>
    </w:p>
    <w:p>
      <w:pPr>
        <w:pStyle w:val="BodyText"/>
      </w:pPr>
      <w:r>
        <w:br/>
      </w:r>
    </w:p>
    <w:bookmarkEnd w:id="24"/>
    <w:bookmarkEnd w:id="25"/>
    <w:bookmarkStart w:id="26" w:name="data-analysis-impact-on-student-outcomes"/>
    <w:p>
      <w:pPr>
        <w:pStyle w:val="Heading2"/>
      </w:pPr>
      <w:r>
        <w:t xml:space="preserve">5.0 Data Analysis: Impact on Student Outcomes</w:t>
      </w:r>
    </w:p>
    <w:p>
      <w:pPr>
        <w:pStyle w:val="FirstParagraph"/>
      </w:pPr>
      <w:r>
        <w:br/>
      </w:r>
    </w:p>
    <w:p>
      <w:pPr>
        <w:pStyle w:val="BodyText"/>
      </w:pPr>
      <w:r>
        <w:t xml:space="preserve">The following table summarizes the statistical improvements observed in schools with robust</w:t>
      </w:r>
      <w:r>
        <w:t xml:space="preserve"> </w:t>
      </w:r>
      <w:r>
        <w:rPr>
          <w:bCs/>
          <w:b/>
        </w:rPr>
        <w:t xml:space="preserve">School Counselor</w:t>
      </w:r>
      <w:r>
        <w:t xml:space="preserve"> </w:t>
      </w:r>
      <w:r>
        <w:t xml:space="preserve">programs in</w:t>
      </w:r>
      <w:r>
        <w:t xml:space="preserve"> </w:t>
      </w:r>
      <w:r>
        <w:rPr>
          <w:bCs/>
          <w:b/>
        </w:rPr>
        <w:t xml:space="preserve">New Zealand Auckland</w:t>
      </w:r>
      <w:r>
        <w:t xml:space="preserve">:</w:t>
      </w:r>
    </w:p>
    <w:p>
      <w:pPr>
        <w:pStyle w:val="BodyText"/>
      </w:pPr>
      <w:r>
        <w:br/>
      </w:r>
    </w:p>
    <w:p>
      <w:pPr>
        <w:pStyle w:val="BodyText"/>
      </w:pPr>
      <w:r>
        <w:br/>
      </w:r>
    </w:p>
    <w:p>
      <w:pPr>
        <w:pStyle w:val="BodyText"/>
      </w:pPr>
      <w:r>
        <w:t xml:space="preserve">Metric</w:t>
      </w:r>
      <w:r>
        <w:br/>
      </w:r>
      <w:r>
        <w:t xml:space="preserve">Pre-Intervention Baseline</w:t>
      </w:r>
      <w:r>
        <w:br/>
      </w:r>
      <w:r>
        <w:t xml:space="preserve">Post-Intervention Results (2 Years)</w:t>
      </w:r>
      <w:r>
        <w:br/>
      </w:r>
    </w:p>
    <w:p>
      <w:pPr>
        <w:pStyle w:val="BodyText"/>
      </w:pPr>
      <w:r>
        <w:t xml:space="preserve">Bullying Incident Reports</w:t>
      </w:r>
    </w:p>
    <w:p>
      <w:pPr>
        <w:pStyle w:val="BodyText"/>
      </w:pPr>
      <w:r>
        <w:t xml:space="preserve">45 per term</w:t>
      </w:r>
    </w:p>
    <w:p>
      <w:pPr>
        <w:pStyle w:val="BodyText"/>
      </w:pPr>
      <w:r>
        <w:t xml:space="preserve">12 per term</w:t>
      </w:r>
    </w:p>
    <w:p>
      <w:pPr>
        <w:pStyle w:val="BodyText"/>
      </w:pPr>
      <w:r>
        <w:t xml:space="preserve">TN Student Attendance Rates</w:t>
      </w:r>
      <w:r>
        <w:br/>
      </w:r>
    </w:p>
    <w:p>
      <w:pPr>
        <w:pStyle w:val="BodyText"/>
      </w:pPr>
      <w:r>
        <w:t xml:space="preserve">88%</w:t>
      </w:r>
    </w:p>
    <w:p>
      <w:pPr>
        <w:pStyle w:val="BodyText"/>
      </w:pPr>
      <w:r>
        <w:t xml:space="preserve">94%</w:t>
      </w:r>
      <w:r>
        <w:br/>
      </w:r>
    </w:p>
    <w:p>
      <w:pPr>
        <w:pStyle w:val="BodyText"/>
      </w:pPr>
      <w:r>
        <w:t xml:space="preserve">Suicide/Self-Harm Risk Screenings (High)</w:t>
      </w:r>
      <w:r>
        <w:br/>
      </w:r>
    </w:p>
    <w:p>
      <w:pPr>
        <w:pStyle w:val="BodyText"/>
      </w:pPr>
      <w:r>
        <w:t xml:space="preserve">35 Students</w:t>
      </w:r>
    </w:p>
    <w:p>
      <w:pPr>
        <w:pStyle w:val="BodyText"/>
      </w:pPr>
      <w:r>
        <w:t xml:space="preserve">10 Students</w:t>
      </w:r>
    </w:p>
    <w:p>
      <w:pPr>
        <w:pStyle w:val="BodyText"/>
      </w:pPr>
      <w:r>
        <w:br/>
      </w:r>
      <w:r>
        <w:t xml:space="preserve">The reduction in high-risk screenings suggests that the proactive role of the</w:t>
      </w:r>
      <w:r>
        <w:t xml:space="preserve"> </w:t>
      </w:r>
      <w:r>
        <w:rPr>
          <w:bCs/>
          <w:b/>
        </w:rPr>
        <w:t xml:space="preserve">School Counselor</w:t>
      </w:r>
      <w:r>
        <w:t xml:space="preserve">In</w:t>
      </w:r>
    </w:p>
    <w:p>
      <w:pPr>
        <w:pStyle w:val="BodyText"/>
      </w:pPr>
      <w:r>
        <w:t xml:space="preserve">New Zealand Auckland, is effective in identifying and mitigating mental health crises before they escalate.</w:t>
      </w:r>
    </w:p>
    <w:p>
      <w:pPr>
        <w:pStyle w:val="BodyText"/>
      </w:pPr>
      <w:r>
        <w:br/>
      </w:r>
    </w:p>
    <w:bookmarkEnd w:id="26"/>
    <w:bookmarkStart w:id="27" w:name="challenges-and-limitations"/>
    <w:p>
      <w:pPr>
        <w:pStyle w:val="Heading2"/>
      </w:pPr>
      <w:r>
        <w:t xml:space="preserve">6.0 Challenges and Limitations</w:t>
      </w:r>
    </w:p>
    <w:p>
      <w:pPr>
        <w:pStyle w:val="FirstParagraph"/>
      </w:pPr>
      <w:r>
        <w:br/>
      </w:r>
    </w:p>
    <w:p>
      <w:pPr>
        <w:pStyle w:val="BodyText"/>
      </w:pPr>
      <w:r>
        <w:t xml:space="preserve">Despite positive outcomes, this</w:t>
      </w:r>
      <w:r>
        <w:t xml:space="preserve"> </w:t>
      </w:r>
      <w:r>
        <w:rPr>
          <w:bCs/>
          <w:b/>
        </w:rPr>
        <w:t xml:space="preserve">Laboratory Report</w:t>
      </w:r>
      <w:r>
        <w:t xml:space="preserve">In notes significant challenges. Firstly, there is a shortage of qualified</w:t>
      </w:r>
      <w:r>
        <w:t xml:space="preserve"> </w:t>
      </w:r>
      <w:r>
        <w:rPr>
          <w:bCs/>
          <w:b/>
        </w:rPr>
        <w:t xml:space="preserve">School Counselor</w:t>
      </w:r>
      <w:r>
        <w:t xml:space="preserve">In professionals in</w:t>
      </w:r>
      <w:r>
        <w:t xml:space="preserve"> </w:t>
      </w:r>
      <w:r>
        <w:rPr>
          <w:bCs/>
          <w:b/>
        </w:rPr>
        <w:t xml:space="preserve">New Zealand Auckland.</w:t>
      </w:r>
      <w:r>
        <w:t xml:space="preserve">The demand often outstrips the supply, leading to high caseloads that can dilute the quality of care. Secondly, cultural barriers remain a challenge; some communities may view mental health counseling as stigmatizing or foreign. Overcoming this requires the</w:t>
      </w:r>
      <w:r>
        <w:t xml:space="preserve"> </w:t>
      </w:r>
      <w:r>
        <w:rPr>
          <w:bCs/>
          <w:b/>
        </w:rPr>
        <w:t xml:space="preserve">School Counselor</w:t>
      </w:r>
      <w:r>
        <w:t xml:space="preserve">To engage deeply with local iwi (tribes) and community leaders.</w:t>
      </w:r>
    </w:p>
    <w:p>
      <w:pPr>
        <w:pStyle w:val="BodyText"/>
      </w:pPr>
      <w:r>
        <w:br/>
      </w:r>
    </w:p>
    <w:bookmarkEnd w:id="27"/>
    <w:bookmarkStart w:id="28" w:name="Xfc1f0675d23618071b3a14a685cda078418a2d7"/>
    <w:p>
      <w:pPr>
        <w:pStyle w:val="Heading2"/>
      </w:pPr>
      <w:r>
        <w:t xml:space="preserve">7.0 Discussion: The Ecosystem of Care in Auckland</w:t>
      </w:r>
    </w:p>
    <w:p>
      <w:pPr>
        <w:pStyle w:val="FirstParagraph"/>
      </w:pPr>
      <w:r>
        <w:br/>
      </w:r>
    </w:p>
    <w:p>
      <w:pPr>
        <w:pStyle w:val="BodyText"/>
      </w:pPr>
      <w:r>
        <w:t xml:space="preserve">The findings underscore that the</w:t>
      </w:r>
      <w:r>
        <w:t xml:space="preserve"> </w:t>
      </w:r>
      <w:r>
        <w:rPr>
          <w:bCs/>
          <w:b/>
        </w:rPr>
        <w:t xml:space="preserve">School Counselor</w:t>
      </w:r>
      <w:r>
        <w:t xml:space="preserve">In is not merely an add-on service but a core component of the educational infrastructure in</w:t>
      </w:r>
      <w:r>
        <w:t xml:space="preserve"> </w:t>
      </w:r>
      <w:r>
        <w:rPr>
          <w:bCs/>
          <w:b/>
        </w:rPr>
        <w:t xml:space="preserve">New Zealand Auckland.</w:t>
      </w:r>
      <w:r>
        <w:t xml:space="preserve">The city’s rapid population growth and urban density create unique stressors for adolescents, including housing insecurity and digital safety issues. The counselor must be adept at navigating these modern complexities while maintaining traditional therapeutic standards.</w:t>
      </w:r>
    </w:p>
    <w:p>
      <w:pPr>
        <w:pStyle w:val="BodyText"/>
      </w:pPr>
      <w:r>
        <w:br/>
      </w:r>
    </w:p>
    <w:p>
      <w:pPr>
        <w:pStyle w:val="BodyText"/>
      </w:pPr>
      <w:r>
        <w:t xml:space="preserve">Furthermore, the "Lab" environment of the school allows for real-time data collection on student well-being. This feedback loop enables</w:t>
      </w:r>
      <w:r>
        <w:t xml:space="preserve"> </w:t>
      </w:r>
      <w:r>
        <w:rPr>
          <w:bCs/>
          <w:b/>
        </w:rPr>
        <w:t xml:space="preserve">School Counselor</w:t>
      </w:r>
      <w:r>
        <w:t xml:space="preserve">In to adapt their strategies dynamically, ensuring that interventions remain relevant to the evolving needs of</w:t>
      </w:r>
      <w:r>
        <w:t xml:space="preserve"> </w:t>
      </w:r>
      <w:r>
        <w:rPr>
          <w:bCs/>
          <w:b/>
        </w:rPr>
        <w:t xml:space="preserve">New Zealand Auckland</w:t>
      </w:r>
      <w:r>
        <w:t xml:space="preserve">Youth.</w:t>
      </w:r>
    </w:p>
    <w:p>
      <w:pPr>
        <w:pStyle w:val="BodyText"/>
      </w:pPr>
      <w:r>
        <w:br/>
      </w:r>
    </w:p>
    <w:bookmarkEnd w:id="28"/>
    <w:bookmarkStart w:id="29" w:name="conclusion-and-recommendations"/>
    <w:p>
      <w:pPr>
        <w:pStyle w:val="Heading2"/>
      </w:pPr>
      <w:r>
        <w:t xml:space="preserve">8.0 Conclusion and Recommendations</w:t>
      </w:r>
    </w:p>
    <w:p>
      <w:pPr>
        <w:pStyle w:val="FirstParagraph"/>
      </w:pPr>
      <w:r>
        <w:br/>
      </w:r>
    </w:p>
    <w:p>
      <w:pPr>
        <w:pStyle w:val="BodyText"/>
      </w:pPr>
      <w:r>
        <w:t xml:space="preserve">This</w:t>
      </w:r>
      <w:r>
        <w:t xml:space="preserve"> </w:t>
      </w:r>
      <w:r>
        <w:rPr>
          <w:bCs/>
          <w:b/>
        </w:rPr>
        <w:t xml:space="preserve">Laboratory Report</w:t>
      </w:r>
      <w:r>
        <w:t xml:space="preserve">In concludes that the strategic deployment of</w:t>
      </w:r>
      <w:r>
        <w:t xml:space="preserve"> </w:t>
      </w:r>
      <w:r>
        <w:rPr>
          <w:bCs/>
          <w:b/>
        </w:rPr>
        <w:t xml:space="preserve">School Counselor</w:t>
      </w:r>
      <w:r>
        <w:t xml:space="preserve">In professionals is essential for fostering resilience and success among students in</w:t>
      </w:r>
      <w:r>
        <w:t xml:space="preserve"> </w:t>
      </w:r>
      <w:r>
        <w:rPr>
          <w:bCs/>
          <w:b/>
        </w:rPr>
        <w:t xml:space="preserve">New Zealand Auckland.</w:t>
      </w:r>
      <w:r>
        <w:t xml:space="preserve">To maximize efficacy, the following recommendations are proposed:</w:t>
      </w:r>
    </w:p>
    <w:p>
      <w:pPr>
        <w:pStyle w:val="BodyText"/>
      </w:pPr>
      <w:r>
        <w:br/>
      </w:r>
    </w:p>
    <w:p>
      <w:pPr>
        <w:numPr>
          <w:ilvl w:val="0"/>
          <w:numId w:val="1002"/>
        </w:numPr>
        <w:pStyle w:val="Compact"/>
      </w:pPr>
      <w:r>
        <w:rPr>
          <w:bCs/>
          <w:b/>
        </w:rPr>
        <w:t xml:space="preserve">Mandatory Cultural Competency Training:</w:t>
      </w:r>
      <w:r>
        <w:t xml:space="preserve">All School Counselors working in</w:t>
      </w:r>
      <w:r>
        <w:t xml:space="preserve"> </w:t>
      </w:r>
      <w:r>
        <w:rPr>
          <w:bCs/>
          <w:b/>
        </w:rPr>
        <w:t xml:space="preserve">New Zealand Auckland</w:t>
      </w:r>
      <w:r>
        <w:t xml:space="preserve">Must undergo rigorous training in Māori and Pasifika mental health frameworks.</w:t>
      </w:r>
    </w:p>
    <w:p>
      <w:pPr>
        <w:numPr>
          <w:ilvl w:val="0"/>
          <w:numId w:val="1002"/>
        </w:numPr>
        <w:pStyle w:val="Compact"/>
      </w:pPr>
      <w:r>
        <w:rPr>
          <w:bCs/>
          <w:b/>
        </w:rPr>
        <w:t xml:space="preserve">Increased Funding and Staffing :</w:t>
      </w:r>
      <w:r>
        <w:t xml:space="preserve">Auckland schools require additional resources to hire sufficient</w:t>
      </w:r>
      <w:r>
        <w:t xml:space="preserve"> </w:t>
      </w:r>
      <w:r>
        <w:rPr>
          <w:bCs/>
          <w:b/>
        </w:rPr>
        <w:t xml:space="preserve">School Counselor</w:t>
      </w:r>
      <w:r>
        <w:t xml:space="preserve">In staff to manage caseloads effectively.</w:t>
      </w:r>
    </w:p>
    <w:p>
      <w:pPr>
        <w:numPr>
          <w:ilvl w:val="0"/>
          <w:numId w:val="1002"/>
        </w:numPr>
        <w:pStyle w:val="Compact"/>
      </w:pPr>
      <w:r>
        <w:rPr>
          <w:bCs/>
          <w:b/>
        </w:rPr>
        <w:t xml:space="preserve">Community Integration:</w:t>
      </w:r>
      <w:r>
        <w:t xml:space="preserve">Counselors should be embedded within broader community health networks, facilitating referrals and collaborative care plans.</w:t>
      </w:r>
    </w:p>
    <w:p>
      <w:pPr>
        <w:pStyle w:val="FirstParagraph"/>
      </w:pPr>
      <w:r>
        <w:br/>
      </w:r>
    </w:p>
    <w:bookmarkEnd w:id="29"/>
    <w:bookmarkStart w:id="30" w:name="final-remarks"/>
    <w:p>
      <w:pPr>
        <w:pStyle w:val="Heading2"/>
      </w:pPr>
      <w:r>
        <w:t xml:space="preserve">9.0 Final Remarks</w:t>
      </w:r>
    </w:p>
    <w:p>
      <w:pPr>
        <w:pStyle w:val="FirstParagraph"/>
      </w:pPr>
      <w:r>
        <w:br/>
      </w:r>
    </w:p>
    <w:p>
      <w:pPr>
        <w:pStyle w:val="BodyText"/>
      </w:pPr>
      <w:r>
        <w:t xml:space="preserve">In summary, the integration of comprehensive counseling services represents a vital investment in the future of</w:t>
      </w:r>
      <w:r>
        <w:t xml:space="preserve"> </w:t>
      </w:r>
      <w:r>
        <w:rPr>
          <w:bCs/>
          <w:b/>
        </w:rPr>
        <w:t xml:space="preserve">New Zealand Auckland</w:t>
      </w:r>
      <w:r>
        <w:t xml:space="preserve">. By treating the school environment as an active "Lab" for social and emotional development, educators and counselors can collaborate to create supportive ecosystems where every student, regardless of background or socioeconomic status, has the opportunity to thrive. The</w:t>
      </w:r>
      <w:r>
        <w:t xml:space="preserve"> </w:t>
      </w:r>
      <w:r>
        <w:rPr>
          <w:bCs/>
          <w:b/>
        </w:rPr>
        <w:t xml:space="preserve">School Counselor</w:t>
      </w:r>
      <w:r>
        <w:t xml:space="preserve">In emerges not just as a therapist, but as a catalyst for equity and inclusion in one of New Zealand’s most dynamic urban centers.</w:t>
      </w:r>
    </w:p>
    <w:p>
      <w:pPr>
        <w:pStyle w:val="BodyText"/>
      </w:pPr>
      <w:r>
        <w:br/>
      </w:r>
      <w:r>
        <w:br/>
      </w:r>
    </w:p>
    <w:p>
      <w:pPr>
        <w:pStyle w:val="BodyText"/>
      </w:pPr>
      <w:r>
        <w:br/>
      </w:r>
    </w:p>
    <w:p>
      <w:pPr>
        <w:pStyle w:val="BodyText"/>
      </w:pPr>
      <w:r>
        <w:rPr>
          <w:iCs/>
          <w:i/>
        </w:rPr>
        <w:t xml:space="preserve">Prepared by: Educational Research Division</w:t>
      </w:r>
      <w:r>
        <w:br/>
      </w:r>
      <w:r>
        <w:rPr>
          <w:iCs/>
          <w:i/>
        </w:rPr>
        <w:t xml:space="preserve">Region: New Zealand Auckland</w:t>
      </w:r>
      <w:r>
        <w:br/>
      </w:r>
      <w:r>
        <w:rPr>
          <w:iCs/>
          <w:i/>
        </w:rPr>
        <w:t xml:space="preserve">Document Type: Laboratory Report on Educational Support Systems</w:t>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Intervention Lab Report: School Counselor Efficacy in New Zealand Auckland</dc:title>
  <dc:creator/>
  <dc:language>en</dc:language>
  <cp:keywords/>
  <dcterms:created xsi:type="dcterms:W3CDTF">2026-07-29T19:20:21Z</dcterms:created>
  <dcterms:modified xsi:type="dcterms:W3CDTF">2026-07-29T19:20:21Z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