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Assessment</w:t>
      </w:r>
      <w:r>
        <w:t xml:space="preserve"> </w:t>
      </w:r>
      <w:r>
        <w:t xml:space="preserve">Lab</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Australia</w:t>
      </w:r>
      <w:r>
        <w:t xml:space="preserve"> </w:t>
      </w:r>
      <w:r>
        <w:t xml:space="preserve">(Brisbane</w:t>
      </w:r>
      <w:r>
        <w:t xml:space="preserve"> </w:t>
      </w:r>
      <w:r>
        <w:t xml:space="preserve">Context)</w:t>
      </w:r>
    </w:p>
    <w:p>
      <w:pPr>
        <w:pStyle w:val="FirstParagraph"/>
      </w:pPr>
      <w:r>
        <w:rPr>
          <w:bCs/>
          <w:b/>
        </w:rPr>
        <w:t xml:space="preserve">Document Type:</w:t>
      </w:r>
      <w:r>
        <w:t xml:space="preserve"> </w:t>
      </w:r>
      <w:r>
        <w:t xml:space="preserve">Professional Practice Lab Report</w:t>
      </w:r>
    </w:p>
    <w:p>
      <w:pPr>
        <w:pStyle w:val="BodyText"/>
      </w:pPr>
      <w:r>
        <w:rPr>
          <w:bCs/>
          <w:b/>
        </w:rPr>
        <w:t xml:space="preserve">Date:</w:t>
      </w:r>
      <w:r>
        <w:t xml:space="preserve"> </w:t>
      </w:r>
      <w:r>
        <w:t xml:space="preserve">October 26, 2023</w:t>
      </w:r>
    </w:p>
    <w:p>
      <w:pPr>
        <w:pStyle w:val="BodyText"/>
      </w:pPr>
      <w:r>
        <w:rPr>
          <w:bCs/>
          <w:b/>
        </w:rPr>
        <w:t xml:space="preserve">Jurisdiction:</w:t>
      </w:r>
    </w:p>
    <w:p>
      <w:pPr>
        <w:pStyle w:val="BodyText"/>
      </w:pPr>
      <w:r>
        <w:t xml:space="preserve">&gt;</w:t>
      </w:r>
    </w:p>
    <w:bookmarkStart w:id="31" w:name="Xc98f8f7c8a629d370b15b1e235de1a76b93cb4c"/>
    <w:p>
      <w:pPr>
        <w:pStyle w:val="Heading1"/>
      </w:pPr>
      <w:r>
        <w:t xml:space="preserve">Laboratory Report: Analysis of Social Work Interventions and Systemic Efficacy in Urban Service Delivery</w:t>
      </w:r>
    </w:p>
    <w:bookmarkStart w:id="20" w:name="executive-summary-and-objectives"/>
    <w:p>
      <w:pPr>
        <w:pStyle w:val="Heading2"/>
      </w:pPr>
      <w:r>
        <w:t xml:space="preserve">1.0 Executive Summary and Objectives</w:t>
      </w:r>
    </w:p>
    <w:p>
      <w:pPr>
        <w:pStyle w:val="FirstParagraph"/>
      </w:pPr>
      <w:r>
        <w:t xml:space="preserve">The primary objective of this laboratory report is to evaluate the operational frameworks, ethical applications, and clinical efficacy of a qualified</w:t>
      </w:r>
      <w:r>
        <w:t xml:space="preserve"> </w:t>
      </w:r>
      <w:r>
        <w:rPr>
          <w:bCs/>
          <w:b/>
        </w:rPr>
        <w:t xml:space="preserve">Social Worker</w:t>
      </w:r>
      <w:r>
        <w:t xml:space="preserve"> </w:t>
      </w:r>
      <w:r>
        <w:t xml:space="preserve">operating within the specific socio-demographic context of Brisbane, Australia. This document serves as a comprehensive audit of practice standards required by the Australian Association of Social Workers (AASW) while addressing unique regional challenges present in Queensland’s capital city.</w:t>
      </w:r>
    </w:p>
    <w:p>
      <w:pPr>
        <w:pStyle w:val="BodyText"/>
      </w:pPr>
      <w:r>
        <w:t xml:space="preserve">In this "lab" setting, we treat the social work intervention process as a scientific methodology: observing environmental variables (the Brisbane landscape), hypothesizing interventions based on client needs, applying evidence-based practices, and measuring outcomes. The scope of this report is strictly confined to the</w:t>
      </w:r>
      <w:r>
        <w:t xml:space="preserve"> </w:t>
      </w:r>
      <w:r>
        <w:rPr>
          <w:bCs/>
          <w:b/>
        </w:rPr>
        <w:t xml:space="preserve">Australia Brisbane</w:t>
      </w:r>
      <w:r>
        <w:t xml:space="preserve"> </w:t>
      </w:r>
      <w:r>
        <w:t xml:space="preserve">jurisdiction, acknowledging that while national laws apply, local council policies, Indigenous cultural protocols specific to Southeast Queensland First Nations peoples create a distinct practice environment.</w:t>
      </w:r>
    </w:p>
    <w:bookmarkEnd w:id="20"/>
    <w:bookmarkStart w:id="24" w:name="Xa3e13d3f255ca8a1d7c87b8a653cf91ce51d191"/>
    <w:p>
      <w:pPr>
        <w:pStyle w:val="Heading2"/>
      </w:pPr>
      <w:r>
        <w:t xml:space="preserve">2.0 Methodology: The Social Work Process as Experimental Procedure</w:t>
      </w:r>
    </w:p>
    <w:p>
      <w:pPr>
        <w:pStyle w:val="FirstParagraph"/>
      </w:pPr>
      <w:r>
        <w:t xml:space="preserve">In the absence of traditional chemical reagents, this laboratory report utilizes the "Bio-Psycho-Social" assessment model as its primary methodological framework. The methodology for analyzing the role of a</w:t>
      </w:r>
      <w:r>
        <w:t xml:space="preserve"> </w:t>
      </w:r>
      <w:r>
        <w:rPr>
          <w:bCs/>
          <w:b/>
        </w:rPr>
        <w:t xml:space="preserve">Social Worker</w:t>
      </w:r>
      <w:r>
        <w:t xml:space="preserve"> </w:t>
      </w:r>
      <w:r>
        <w:t xml:space="preserve">in this context involves three distinct phases:</w:t>
      </w:r>
    </w:p>
    <w:bookmarkStart w:id="21" w:name="X9521711d6b7d77b588d185e65fec562291a46d5"/>
    <w:p>
      <w:pPr>
        <w:pStyle w:val="Heading3"/>
      </w:pPr>
      <w:r>
        <w:t xml:space="preserve">2.1 Environmental Scanning (The Brisbane Context)</w:t>
      </w:r>
    </w:p>
    <w:p>
      <w:pPr>
        <w:pStyle w:val="FirstParagraph"/>
      </w:pPr>
      <w:r>
        <w:t xml:space="preserve">The initial phase requires a thorough analysis of the physical and social landscape of Brisbane. This includes assessing access to mental health services within the Queensland Health network, availability of community support organizations in areas such as South Bank or Fortitude Valley, and the impact of climate-related stressors (e.g., flooding events common in Greater Brisbane) on client stability. The</w:t>
      </w:r>
      <w:r>
        <w:t xml:space="preserve"> </w:t>
      </w:r>
      <w:r>
        <w:rPr>
          <w:bCs/>
          <w:b/>
        </w:rPr>
        <w:t xml:space="preserve">Australia Brisbane</w:t>
      </w:r>
      <w:r>
        <w:t xml:space="preserve"> </w:t>
      </w:r>
      <w:r>
        <w:t xml:space="preserve">context is characterized by high population density in inner-city suburbs contrasted with rapid urban sprawl, creating a dichotomy of service accessibility that the Social Worker must navigate.</w:t>
      </w:r>
    </w:p>
    <w:bookmarkEnd w:id="21"/>
    <w:bookmarkStart w:id="22" w:name="intervention-implementation"/>
    <w:p>
      <w:pPr>
        <w:pStyle w:val="Heading3"/>
      </w:pPr>
      <w:r>
        <w:t xml:space="preserve">2.2 Intervention Implementation</w:t>
      </w:r>
    </w:p>
    <w:p>
      <w:pPr>
        <w:pStyle w:val="FirstParagraph"/>
      </w:pPr>
      <w:r>
        <w:t xml:space="preserve">The core experiment involves the application of therapeutic techniques such as Cognitive Behavioural Therapy (CBT) adapted for trauma-informed care, or systemic family therapy. The Social Worker acts as the catalyst, introducing change agents into the client’s environment to alter negative outcomes.</w:t>
      </w:r>
    </w:p>
    <w:bookmarkEnd w:id="22"/>
    <w:bookmarkStart w:id="23" w:name="outcome-measurement"/>
    <w:p>
      <w:pPr>
        <w:pStyle w:val="Heading3"/>
      </w:pPr>
      <w:r>
        <w:t xml:space="preserve">2.3 Outcome Measurement</w:t>
      </w:r>
    </w:p>
    <w:p>
      <w:pPr>
        <w:pStyle w:val="FirstParagraph"/>
      </w:pPr>
      <w:r>
        <w:t xml:space="preserve">Efficacy is measured not by chemical reactions, but by qualitative and quantitative indicators: reduction in anxiety scores (using standardised tools like the Kessler Psychological Distress Scale), successful housing placement, or improved family dynamics. These metrics are rigorously documented to ensure accountability.</w:t>
      </w:r>
    </w:p>
    <w:bookmarkEnd w:id="23"/>
    <w:bookmarkEnd w:id="24"/>
    <w:bookmarkStart w:id="27" w:name="X95d5dad61746eee7d287026d89e038b4267ef53"/>
    <w:p>
      <w:pPr>
        <w:pStyle w:val="Heading2"/>
      </w:pPr>
      <w:r>
        <w:t xml:space="preserve">3.0 Variables of Practice: Regulatory and Cultural Constraints</w:t>
      </w:r>
    </w:p>
    <w:p>
      <w:pPr>
        <w:pStyle w:val="FirstParagraph"/>
      </w:pPr>
      <w:r>
        <w:t xml:space="preserve">In any rigorous laboratory experiment, uncontrolled variables can skew results. In the practice of a</w:t>
      </w:r>
      <w:r>
        <w:t xml:space="preserve"> </w:t>
      </w:r>
      <w:r>
        <w:rPr>
          <w:bCs/>
          <w:b/>
        </w:rPr>
        <w:t xml:space="preserve">Social Worker</w:t>
      </w:r>
      <w:r>
        <w:t xml:space="preserve"> </w:t>
      </w:r>
      <w:r>
        <w:t xml:space="preserve">in Brisbane, these variables are largely regulatory and cultural.</w:t>
      </w:r>
    </w:p>
    <w:bookmarkStart w:id="25" w:name="Xf4f5d82288b312d9dcec7d1f62ae9b14aa0de25"/>
    <w:p>
      <w:pPr>
        <w:pStyle w:val="Heading3"/>
      </w:pPr>
      <w:r>
        <w:t xml:space="preserve">3.1 Legislative Frameworks in Australia Brisbane</w:t>
      </w:r>
    </w:p>
    <w:p>
      <w:pPr>
        <w:pStyle w:val="FirstParagraph"/>
      </w:pPr>
      <w:r>
        <w:t xml:space="preserve">The Social Worker must operate strictly within the bounds of Queensland legislation. Key statutes include the *Psychiatric Patients Act 2016* (Qld), which governs involuntary treatment and patient rights, and the *Child Protection Act 1999* (Qld). Unlike other jurisdictions, a</w:t>
      </w:r>
      <w:r>
        <w:t xml:space="preserve"> </w:t>
      </w:r>
      <w:r>
        <w:rPr>
          <w:bCs/>
          <w:b/>
        </w:rPr>
        <w:t xml:space="preserve">Social Worker</w:t>
      </w:r>
      <w:r>
        <w:t xml:space="preserve"> </w:t>
      </w:r>
      <w:r>
        <w:t xml:space="preserve">in Brisbane must possess specific knowledge of local Child Safety Officer protocols. Failure to adhere to these mandatory reporting obligations constitutes a critical failure in the experimental design of care.</w:t>
      </w:r>
    </w:p>
    <w:bookmarkEnd w:id="25"/>
    <w:bookmarkStart w:id="26" w:name="X0d337c5fee5d7a724faf8b7737c242518ab6a4f"/>
    <w:p>
      <w:pPr>
        <w:pStyle w:val="Heading3"/>
      </w:pPr>
      <w:r>
        <w:t xml:space="preserve">3.2 Cultural Safety and Aboriginal and Torres Strait Islander Protocols</w:t>
      </w:r>
    </w:p>
    <w:p>
      <w:pPr>
        <w:pStyle w:val="FirstParagraph"/>
      </w:pPr>
      <w:r>
        <w:t xml:space="preserve">A significant variable in Brisbane is the presence of diverse First Nations populations. The concept of "Cultural Safety" is not optional; it is a fundamental component of professional standards in Australia Brisbane. A Social Worker must engage with local Indigenous Land Councils and utilize culturally appropriate communication methods. Ignoring these cultural dynamics renders the intervention invalid, as trust cannot be established without respect for the client’s heritage.</w:t>
      </w:r>
    </w:p>
    <w:bookmarkEnd w:id="26"/>
    <w:bookmarkEnd w:id="27"/>
    <w:bookmarkStart w:id="28" w:name="data-analysis-case-study-simulation"/>
    <w:p>
      <w:pPr>
        <w:pStyle w:val="Heading2"/>
      </w:pPr>
      <w:r>
        <w:t xml:space="preserve">4.0 Data Analysis: Case Study Simulation</w:t>
      </w:r>
    </w:p>
    <w:p>
      <w:pPr>
        <w:pStyle w:val="FirstParagraph"/>
      </w:pPr>
      <w:r>
        <w:t xml:space="preserve">To illustrate the practical application of these concepts, we present a simulated case study representing typical data observed in Brisbane social work labs.</w:t>
      </w:r>
    </w:p>
    <w:p>
      <w:pPr>
        <w:pStyle w:val="BodyText"/>
      </w:pPr>
      <w:r>
        <w:rPr>
          <w:bCs/>
          <w:b/>
        </w:rPr>
        <w:t xml:space="preserve">Variable</w:t>
      </w:r>
    </w:p>
    <w:p>
      <w:pPr>
        <w:pStyle w:val="BodyText"/>
      </w:pPr>
      <w:r>
        <w:rPr>
          <w:bCs/>
          <w:b/>
        </w:rPr>
        <w:t xml:space="preserve">Description in Australia Brisbane Context</w:t>
      </w:r>
    </w:p>
    <w:p>
      <w:pPr>
        <w:pStyle w:val="BodyText"/>
      </w:pPr>
      <w:r>
        <w:rPr>
          <w:bCs/>
          <w:b/>
        </w:rPr>
        <w:t xml:space="preserve">Social Worker Intervention Strategy</w:t>
      </w:r>
    </w:p>
    <w:p>
      <w:pPr>
        <w:pStyle w:val="BodyText"/>
      </w:pPr>
      <w:r>
        <w:t xml:space="preserve">&gt;head&gt;&gt;tbody&gt;&gt;tr&gt;&gt;td&gt;Housing Instability/td&gt;TD&gt;Rising cost of living in suburbs like Paddington or Woolloongabba leading to rental stress/TD/Social Worker connects client with Queensland Housing Department and local charities like Salvation Army Brisbane./TD&gt;/TR&gt;</w:t>
      </w:r>
    </w:p>
    <w:p>
      <w:pPr>
        <w:pStyle w:val="BodyText"/>
      </w:pPr>
      <w:r>
        <w:t xml:space="preserve">Mental Health Access</w:t>
      </w:r>
    </w:p>
    <w:p>
      <w:pPr>
        <w:pStyle w:val="BodyText"/>
      </w:pPr>
      <w:r>
        <w:t xml:space="preserve">Prioritization lists for Medicare Mental Health Treatment Plans in South East Queensland/td&gt;&gt;td/Social Worker advocates for urgent GP referral and facilitates community-based support groups/TD&gt;/TR&gt;&gt;tr&gt;&gt;th&gt;Cultural Engagement/ThS&gt;</w:t>
      </w:r>
    </w:p>
    <w:p>
      <w:pPr>
        <w:pStyle w:val="BodyText"/>
      </w:pPr>
      <w:r>
        <w:t xml:space="preserve">Engagement with Turrbal and Jagera Country traditions</w:t>
      </w:r>
    </w:p>
    <w:p>
      <w:pPr>
        <w:pStyle w:val="BodyText"/>
      </w:pPr>
      <w:r>
        <w:t xml:space="preserve">Social Worker incorporates Acknowledgement of Country and refers to Indigenous-led counseling services</w:t>
      </w:r>
    </w:p>
    <w:p>
      <w:pPr>
        <w:pStyle w:val="BodyText"/>
      </w:pPr>
      <w:r>
        <w:t xml:space="preserve">/TR&gt;&gt;tbody&gt;&gt;/TABLE&gt;</w:t>
      </w:r>
    </w:p>
    <w:p>
      <w:pPr>
        <w:pStyle w:val="BodyText"/>
      </w:pPr>
      <w:r>
        <w:t xml:space="preserve">The data analysis reveals that successful outcomes in Brisbane are highly correlated with the Social Worker’s ability to bridge the gap between government bureaucracy and immediate community needs. The "lab results" indicate that isolated clinical interventions fail without concurrent advocacy for systemic support.</w:t>
      </w:r>
    </w:p>
    <w:bookmarkEnd w:id="28"/>
    <w:bookmarkStart w:id="29" w:name="Xe0245acfab9cc6f0a397edcd9072a60e54fdccb"/>
    <w:p>
      <w:pPr>
        <w:pStyle w:val="Heading2"/>
      </w:pPr>
      <w:r>
        <w:t xml:space="preserve">5.0 Discussion: Challenges in Urban Service Delivery</w:t>
      </w:r>
    </w:p>
    <w:p>
      <w:pPr>
        <w:pStyle w:val="FirstParagraph"/>
      </w:pPr>
      <w:r>
        <w:t xml:space="preserve">The laboratory analysis highlights several persistent challenges specific to a</w:t>
      </w:r>
      <w:r>
        <w:t xml:space="preserve"> </w:t>
      </w:r>
      <w:r>
        <w:rPr>
          <w:bCs/>
          <w:b/>
        </w:rPr>
        <w:t xml:space="preserve">Social Worker</w:t>
      </w:r>
      <w:r>
        <w:t xml:space="preserve"> </w:t>
      </w:r>
      <w:r>
        <w:t xml:space="preserve">operating in Australia Brisbane:</w:t>
      </w:r>
    </w:p>
    <w:p>
      <w:pPr>
        <w:numPr>
          <w:ilvl w:val="0"/>
          <w:numId w:val="1001"/>
        </w:numPr>
        <w:pStyle w:val="Compact"/>
      </w:pPr>
      <w:r>
        <w:rPr>
          <w:bCs/>
          <w:b/>
        </w:rPr>
        <w:t xml:space="preserve">Climate Vulnerability:</w:t>
      </w:r>
      <w:r>
        <w:t xml:space="preserve">&gt; Recent severe weather events have highlighted the need for disaster recovery social work. A Brisbane-based Social Worker must be trained in crisis intervention specifically related to climate-induced displacement, a growing concern in the region.</w:t>
      </w:r>
    </w:p>
    <w:p>
      <w:pPr>
        <w:numPr>
          <w:ilvl w:val="0"/>
          <w:numId w:val="1001"/>
        </w:numPr>
        <w:pStyle w:val="Compact"/>
      </w:pPr>
      <w:r>
        <w:rPr>
          <w:bCs/>
          <w:b/>
        </w:rPr>
        <w:t xml:space="preserve">&gt;Digital Divide:</w:t>
      </w:r>
      <w:r>
        <w:t xml:space="preserve">&gt; While Brisbane is a tech-forward city, vulnerable populations (particularly elderly clients) may lack digital literacy. The Social Worker must balance online service delivery with traditional face-to-face methods to ensure inclusivity.</w:t>
      </w:r>
    </w:p>
    <w:p>
      <w:pPr>
        <w:pStyle w:val="FirstParagraph"/>
      </w:pPr>
      <w:r>
        <w:t xml:space="preserve">&gt;</w:t>
      </w:r>
    </w:p>
    <w:bookmarkEnd w:id="29"/>
    <w:bookmarkStart w:id="30" w:name="conclusion-and-recommendations"/>
    <w:p>
      <w:pPr>
        <w:pStyle w:val="Heading2"/>
      </w:pPr>
      <w:r>
        <w:t xml:space="preserve">6.0 Conclusion and Recommendations</w:t>
      </w:r>
    </w:p>
    <w:p>
      <w:pPr>
        <w:pStyle w:val="FirstParagraph"/>
      </w:pPr>
      <w:r>
        <w:t xml:space="preserve">This lab report concludes that the role of a</w:t>
      </w:r>
      <w:r>
        <w:t xml:space="preserve"> </w:t>
      </w:r>
      <w:r>
        <w:rPr>
          <w:bCs/>
          <w:b/>
        </w:rPr>
        <w:t xml:space="preserve">Social Worker</w:t>
      </w:r>
      <w:r>
        <w:t xml:space="preserve"> </w:t>
      </w:r>
      <w:r>
        <w:t xml:space="preserve">in Australia Brisbane is complex, requiring a synthesis of clinical skill, legal expertise, and cultural competency. The "experiment" demonstrates that effective social work is not merely about individual therapy but about navigating the intricate web of Queensland’s welfare systems.</w:t>
      </w:r>
    </w:p>
    <w:p>
      <w:pPr>
        <w:pStyle w:val="BodyText"/>
      </w:pPr>
      <w:r>
        <w:t xml:space="preserve">To optimize outcomes for future iterations of this practice model, the following recommendations are proposed:</w:t>
      </w:r>
    </w:p>
    <w:p>
      <w:pPr>
        <w:numPr>
          <w:ilvl w:val="0"/>
          <w:numId w:val="1002"/>
        </w:numPr>
        <w:pStyle w:val="Compact"/>
      </w:pPr>
      <w:r>
        <w:rPr>
          <w:bCs/>
          <w:b/>
        </w:rPr>
        <w:t xml:space="preserve">Ongoing Cultural Competency Training:</w:t>
      </w:r>
      <w:r>
        <w:t xml:space="preserve">&gt; Continuous professional development focused on Southeast Queensland First Nations histories and current social issues is mandatory for efficacy.</w:t>
      </w:r>
    </w:p>
    <w:p>
      <w:pPr>
        <w:numPr>
          <w:ilvl w:val="0"/>
          <w:numId w:val="1002"/>
        </w:numPr>
        <w:pStyle w:val="Compact"/>
      </w:pPr>
      <w:r>
        <w:rPr>
          <w:bCs/>
          <w:b/>
        </w:rPr>
        <w:t xml:space="preserve">&gt;Climate Resilience Integration:</w:t>
      </w:r>
      <w:r>
        <w:t xml:space="preserve">&gt; Social Work curricula in Brisbane should integrate disaster preparedness as a core competency, given the region’s susceptibility to extreme weather.</w:t>
      </w:r>
    </w:p>
    <w:p>
      <w:pPr>
        <w:pStyle w:val="FirstParagraph"/>
      </w:pPr>
      <w:r>
        <w:t xml:space="preserve">&gt;</w:t>
      </w:r>
    </w:p>
    <w:p>
      <w:pPr>
        <w:pStyle w:val="BodyText"/>
      </w:pPr>
      <w:r>
        <w:t xml:space="preserve">In summary, the data supports the hypothesis that a highly trained, locally embedded Social Worker is essential for maintaining social stability and promoting well-being in Australia Brisbane. The rigorous application of ethical standards and evidence-based practices ensures that this profession remains a vital pillar of public health infrastructure in Queensland.</w:t>
      </w:r>
    </w:p>
    <w:p>
      <w:pPr>
        <w:pStyle w:val="BodyText"/>
      </w:pPr>
      <w:r>
        <w:rPr>
          <w:iCs/>
          <w:i/>
        </w:rPr>
        <w:t xml:space="preserve">This document was generated for professional review purposes regarding Social Work practice standards in Australia Brisbane.</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Assessment Lab Report: Social Work Practice in Australia (Brisbane Context)</dc:title>
  <dc:creator/>
  <cp:keywords/>
  <dcterms:created xsi:type="dcterms:W3CDTF">2026-07-29T17:35:07Z</dcterms:created>
  <dcterms:modified xsi:type="dcterms:W3CDTF">2026-07-29T17:35:07Z</dcterms:modified>
</cp:coreProperties>
</file>

<file path=docProps/custom.xml><?xml version="1.0" encoding="utf-8"?>
<Properties xmlns="http://schemas.openxmlformats.org/officeDocument/2006/custom-properties" xmlns:vt="http://schemas.openxmlformats.org/officeDocument/2006/docPropsVTypes"/>
</file>