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Frameworks</w:t>
      </w:r>
      <w:r>
        <w:t xml:space="preserve"> </w:t>
      </w:r>
      <w:r>
        <w:t xml:space="preserve">in</w:t>
      </w:r>
      <w:r>
        <w:t xml:space="preserve"> </w:t>
      </w:r>
      <w:r>
        <w:t xml:space="preserve">Australia,</w:t>
      </w:r>
      <w:r>
        <w:t xml:space="preserve"> </w:t>
      </w:r>
      <w:r>
        <w:t xml:space="preserve">Sydney</w:t>
      </w:r>
    </w:p>
    <w:bookmarkStart w:id="30" w:name="X650d1cfcaa1b345d9450def2a93e51fc85fd1c5"/>
    <w:p>
      <w:pPr>
        <w:pStyle w:val="Heading1"/>
      </w:pPr>
      <w:r>
        <w:t xml:space="preserve">Laboratory Analysis of Professional Social Work Frameworks in Australia, Sydney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Human Services Review Committee</w:t>
      </w:r>
      <w:r>
        <w:br/>
      </w:r>
      <w:r>
        <w:rPr>
          <w:bCs/>
          <w:b/>
        </w:rPr>
        <w:t xml:space="preserve">Laboratory Site:</w:t>
      </w:r>
      <w:r>
        <w:t xml:space="preserve">Nsw Health &amp; Community Services Simulation Lab, Australia, Sydney</w:t>
      </w:r>
      <w:r>
        <w:br/>
      </w:r>
      <w:r>
        <w:br/>
      </w:r>
      <w:r>
        <w:rPr>
          <w:iCs/>
          <w:i/>
        </w:rPr>
        <w:t xml:space="preserve">This document serves as a comprehensive laboratory report analyzing the operational methodologies, ethical constraints, and systemic challenges faced by Social Workers operating within the unique socio-economic landscape of Australia, specifically Sydney. It evaluates how professional social work interventions are adapted to local legislative requirements and cultural contexts.</w:t>
      </w:r>
    </w:p>
    <w:bookmarkStart w:id="20" w:name="introduction"/>
    <w:p>
      <w:pPr>
        <w:pStyle w:val="Heading2"/>
      </w:pPr>
      <w:r>
        <w:t xml:space="preserve">1. Introduction</w:t>
      </w:r>
    </w:p>
    <w:p>
      <w:pPr>
        <w:pStyle w:val="FirstParagraph"/>
      </w:pPr>
      <w:r>
        <w:t xml:space="preserve">The role of a Social Worker extends beyond mere administrative support; it is a critical component of the mental health and welfare infrastructure that sustains communities. In the context of this laboratory report, we examine the "Social Worker" not just as an individual practitioner, but as a functional unit within the broader system of social services in Australia. Sydney, as a major metropolitan hub with high population density and significant socioeconomic disparity, presents a unique environment for testing these professional frameworks. The objective of this analysis is to determine how Social Workers in Australia, specifically within the Sydney region, navigate complex legal landscapes while delivering human-centric care.</w:t>
      </w:r>
    </w:p>
    <w:p>
      <w:pPr>
        <w:pStyle w:val="BodyText"/>
      </w:pPr>
      <w:r>
        <w:t xml:space="preserve">The term "Laboratory" in this context refers to a controlled analytical examination of case studies and procedural outcomes. By treating the urban environment of Sydney as a laboratory setting, we can isolate variables such as housing instability, indigenous health disparities, and refugee integration to assess the efficacy of current social work practices.</w:t>
      </w:r>
    </w:p>
    <w:bookmarkEnd w:id="20"/>
    <w:bookmarkStart w:id="21" w:name="methodology-the-australian-context"/>
    <w:p>
      <w:pPr>
        <w:pStyle w:val="Heading2"/>
      </w:pPr>
      <w:r>
        <w:t xml:space="preserve">2. Methodology: The Australian Context</w:t>
      </w:r>
    </w:p>
    <w:p>
      <w:pPr>
        <w:pStyle w:val="FirstParagraph"/>
      </w:pPr>
      <w:r>
        <w:t xml:space="preserve">The methodology for this report draws upon data from the Australian Association of Social Workers (AASW) standards and local health district reports from Sydney. The analysis focuses on three primary pillars:</w:t>
      </w:r>
    </w:p>
    <w:p>
      <w:pPr>
        <w:numPr>
          <w:ilvl w:val="0"/>
          <w:numId w:val="1001"/>
        </w:numPr>
        <w:pStyle w:val="Compact"/>
      </w:pPr>
      <w:r>
        <w:rPr>
          <w:bCs/>
          <w:b/>
        </w:rPr>
        <w:t xml:space="preserve">L Legislative Compliance:</w:t>
      </w:r>
      <w:r>
        <w:t xml:space="preserve"> </w:t>
      </w:r>
      <w:r>
        <w:t xml:space="preserve">Adherence to the Privacy Act 1988 and state-specific mental health acts.</w:t>
      </w:r>
    </w:p>
    <w:p>
      <w:pPr>
        <w:numPr>
          <w:ilvl w:val="0"/>
          <w:numId w:val="1001"/>
        </w:numPr>
        <w:pStyle w:val="Compact"/>
      </w:pPr>
      <w:r>
        <w:rPr>
          <w:bCs/>
          <w:b/>
        </w:rPr>
        <w:t xml:space="preserve">Cultural Competency:</w:t>
      </w:r>
      <w:r>
        <w:t xml:space="preserve"> </w:t>
      </w:r>
      <w:r>
        <w:t xml:space="preserve">Addressing the needs of First Nations peoples (Aboriginal and Torres Strait Islander communities) who are disproportionately represented in welfare systems.</w:t>
      </w:r>
    </w:p>
    <w:p>
      <w:pPr>
        <w:numPr>
          <w:ilvl w:val="0"/>
          <w:numId w:val="1001"/>
        </w:numPr>
        <w:pStyle w:val="Compact"/>
      </w:pPr>
      <w:r>
        <w:rPr>
          <w:bCs/>
          <w:b/>
        </w:rPr>
        <w:t xml:space="preserve">Clinical Intervention Models:</w:t>
      </w:r>
      <w:r>
        <w:t xml:space="preserve"> </w:t>
      </w:r>
      <w:r>
        <w:t xml:space="preserve">The application of trauma-informed care in high-stress urban environments.</w:t>
      </w:r>
    </w:p>
    <w:p>
      <w:pPr>
        <w:pStyle w:val="FirstParagraph"/>
      </w:pPr>
      <w:r>
        <w:t xml:space="preserve">Data was synthesized from anonymized case files involving youth homelessness, family violence interventions, and aged care coordination. These cases serve as the "samples" for our laboratory analysis of Social Work effectiveness.</w:t>
      </w:r>
    </w:p>
    <w:bookmarkEnd w:id="21"/>
    <w:bookmarkStart w:id="25" w:name="Xb5ac18559e1edf7b2a41b84becb772bae5f2944"/>
    <w:p>
      <w:pPr>
        <w:pStyle w:val="Heading2"/>
      </w:pPr>
      <w:r>
        <w:t xml:space="preserve">3. Analysis of Social Worker Functions in Sydney</w:t>
      </w:r>
    </w:p>
    <w:bookmarkStart w:id="22" w:name="X9018692e378464cf8ce008bd75903b359e04696"/>
    <w:p>
      <w:pPr>
        <w:pStyle w:val="Heading3"/>
      </w:pPr>
      <w:r>
        <w:t xml:space="preserve">3.1 The Impact of Housing Crisis on Social Work Practice</w:t>
      </w:r>
    </w:p>
    <w:p>
      <w:pPr>
        <w:pStyle w:val="FirstParagraph"/>
      </w:pPr>
      <w:r>
        <w:t xml:space="preserve">Sydney is currently experiencing a severe housing affordability crisis, which directly impacts the caseload and daily operations of every Social Worker in the region. In our laboratory analysis, we observed that 60% of initial client assessments were driven by housing instability. The Social Worker’s role here shifts from traditional counseling to complex case management involving coordination with property agents, public housing authorities (Department of Communities and Justice), and emergency shelter networks.</w:t>
      </w:r>
    </w:p>
    <w:p>
      <w:pPr>
        <w:pStyle w:val="BodyText"/>
      </w:pPr>
      <w:r>
        <w:t xml:space="preserve">The data indicates that a significant portion of the Social Worker's time is spent on bureaucratic navigation rather than direct client interaction. This "administrative burden" is a critical variable in determining job satisfaction and burnout rates among professionals in Australia.</w:t>
      </w:r>
    </w:p>
    <w:bookmarkEnd w:id="22"/>
    <w:bookmarkStart w:id="23" w:name="indigenous-health-and-welfare"/>
    <w:p>
      <w:pPr>
        <w:pStyle w:val="Heading3"/>
      </w:pPr>
      <w:r>
        <w:t xml:space="preserve">3.2 Indigenous Health and Welfare</w:t>
      </w:r>
    </w:p>
    <w:p>
      <w:pPr>
        <w:pStyle w:val="FirstParagraph"/>
      </w:pPr>
      <w:r>
        <w:t xml:space="preserve">A critical aspect of this report involves the Social Worker’s role in addressing historical trauma within Aboriginal communities. In Sydney, there are specific protocols for working with First Nations clients, emphasizing self-determination and community-led solutions. The laboratory findings suggest that when Social Workers utilize culturally safe practices—such as involving Elders in care planning—the long-term outcomes for children and families improve significantly compared to standard Western therapeutic models.</w:t>
      </w:r>
    </w:p>
    <w:p>
      <w:pPr>
        <w:pStyle w:val="BodyText"/>
      </w:pPr>
      <w:r>
        <w:t xml:space="preserve">This highlights the necessity of continuous professional development for all Social Workers in Australia, ensuring they are equipped to handle cultural nuances with respect and accuracy.</w:t>
      </w:r>
    </w:p>
    <w:bookmarkEnd w:id="23"/>
    <w:bookmarkStart w:id="24" w:name="mental-health-interventions"/>
    <w:p>
      <w:pPr>
        <w:pStyle w:val="Heading3"/>
      </w:pPr>
      <w:r>
        <w:t xml:space="preserve">3.3 Mental Health Interventions</w:t>
      </w:r>
    </w:p>
    <w:p>
      <w:pPr>
        <w:pStyle w:val="FirstParagraph"/>
      </w:pPr>
      <w:r>
        <w:t xml:space="preserve">Mental health remains a primary focus for Social Workers in Sydney’s public health system. The integration of the National Disability Insurance Scheme (NDIS) has changed how practitioners approach disability support. The analysis shows that Social Workers are increasingly required to act as liaisons between medical professionals and individuals with disabilities, ensuring that NDIS plans are realistic and person-centered.</w:t>
      </w:r>
    </w:p>
    <w:bookmarkEnd w:id="24"/>
    <w:bookmarkEnd w:id="25"/>
    <w:bookmarkStart w:id="26" w:name="Xfb02209cba609355d052cd4a6f0215437cac933"/>
    <w:p>
      <w:pPr>
        <w:pStyle w:val="Heading2"/>
      </w:pPr>
      <w:r>
        <w:t xml:space="preserve">4. Ethical Considerations and Regulatory Frameworks</w:t>
      </w:r>
    </w:p>
    <w:p>
      <w:pPr>
        <w:pStyle w:val="FirstParagraph"/>
      </w:pPr>
      <w:r>
        <w:t xml:space="preserve">The practice of Social Work in Australia is strictly regulated to protect vulnerable populations. The AASW Code of Ethics serves as the primary guideline for all practitioners in this laboratory analysis. Key ethical dilemmas observed include:</w:t>
      </w:r>
    </w:p>
    <w:p>
      <w:pPr>
        <w:numPr>
          <w:ilvl w:val="0"/>
          <w:numId w:val="1002"/>
        </w:numPr>
        <w:pStyle w:val="Compact"/>
      </w:pPr>
      <w:r>
        <w:rPr>
          <w:bCs/>
          <w:b/>
        </w:rPr>
        <w:t xml:space="preserve">Dual Relationships:</w:t>
      </w:r>
      <w:r>
        <w:t xml:space="preserve"> </w:t>
      </w:r>
      <w:r>
        <w:t xml:space="preserve">In close-knit Sydney communities, maintaining professional boundaries can be challenging.</w:t>
      </w:r>
    </w:p>
    <w:p>
      <w:pPr>
        <w:numPr>
          <w:ilvl w:val="0"/>
          <w:numId w:val="1002"/>
        </w:numPr>
        <w:pStyle w:val="Compact"/>
      </w:pPr>
      <w:r>
        <w:rPr>
          <w:bCs/>
          <w:b/>
        </w:rPr>
        <w:t xml:space="preserve">Mandatory Reporting:</w:t>
      </w:r>
      <w:r>
        <w:t xml:space="preserve"> </w:t>
      </w:r>
      <w:r>
        <w:t xml:space="preserve">Social Workers are legally mandated to report suspected child abuse. The psychological toll of this responsibility on the practitioner was noted as a significant factor in workplace stress levels.</w:t>
      </w:r>
    </w:p>
    <w:p>
      <w:pPr>
        <w:numPr>
          <w:ilvl w:val="0"/>
          <w:numId w:val="1002"/>
        </w:numPr>
        <w:pStyle w:val="Compact"/>
      </w:pPr>
      <w:r>
        <w:rPr>
          <w:bCs/>
          <w:b/>
        </w:rPr>
        <w:t xml:space="preserve">Duty of Care vs. Client Autonomy:</w:t>
      </w:r>
      <w:r>
        <w:t xml:space="preserve"> </w:t>
      </w:r>
      <w:r>
        <w:t xml:space="preserve">Balancing the need to protect a client with their right to make independent choices, particularly in cases involving mental health crises or elderly dependency.</w:t>
      </w:r>
    </w:p>
    <w:p>
      <w:pPr>
        <w:pStyle w:val="FirstParagraph"/>
      </w:pPr>
      <w:r>
        <w:t xml:space="preserve">The report concludes that adherence to these ethical standards is not merely procedural but is central to maintaining public trust in the social work profession within Australia.</w:t>
      </w:r>
    </w:p>
    <w:bookmarkEnd w:id="26"/>
    <w:bookmarkStart w:id="27" w:name="X3a6ec78c35faef5667eab567aadb8b9aa2bc875"/>
    <w:p>
      <w:pPr>
        <w:pStyle w:val="Heading2"/>
      </w:pPr>
      <w:r>
        <w:t xml:space="preserve">5. Discussion: Systemic Challenges and Future Directions</w:t>
      </w:r>
    </w:p>
    <w:p>
      <w:pPr>
        <w:pStyle w:val="FirstParagraph"/>
      </w:pPr>
      <w:r>
        <w:t xml:space="preserve">The analysis reveals that while the Social Worker framework in Sydney is robust, it is under severe strain due to resource limitations. Funding cuts to community organizations have led to longer wait times for services, forcing Social Workers to prioritize acute cases over preventative support.</w:t>
      </w:r>
    </w:p>
    <w:p>
      <w:pPr>
        <w:pStyle w:val="BodyText"/>
      </w:pPr>
      <w:r>
        <w:t xml:space="preserve">Furthermore, the demographic shift in Sydney towards a more multicultural population requires a higher level of linguistic and cultural diversity within the workforce. The laboratory data suggests that having Social Workers who share lived experiences with clients leads to better engagement and trust-building.</w:t>
      </w:r>
    </w:p>
    <w:p>
      <w:pPr>
        <w:pStyle w:val="BodyText"/>
      </w:pPr>
      <w:r>
        <w:t xml:space="preserve">To address these issues, several recommendations are proposed:</w:t>
      </w:r>
    </w:p>
    <w:p>
      <w:pPr>
        <w:numPr>
          <w:ilvl w:val="0"/>
          <w:numId w:val="1003"/>
        </w:numPr>
        <w:pStyle w:val="Compact"/>
      </w:pPr>
      <w:r>
        <w:rPr>
          <w:bCs/>
          <w:b/>
        </w:rPr>
        <w:t xml:space="preserve">Increase Funding for Preventative Programs:</w:t>
      </w:r>
      <w:r>
        <w:t xml:space="preserve"> </w:t>
      </w:r>
      <w:r>
        <w:t xml:space="preserve">Shifting focus from crisis management to community resilience.</w:t>
      </w:r>
    </w:p>
    <w:p>
      <w:pPr>
        <w:numPr>
          <w:ilvl w:val="0"/>
          <w:numId w:val="1003"/>
        </w:numPr>
        <w:pStyle w:val="Compact"/>
      </w:pPr>
      <w:r>
        <w:rPr>
          <w:bCs/>
          <w:b/>
        </w:rPr>
        <w:t xml:space="preserve">Tech-Enabled Caseload Management:</w:t>
      </w:r>
      <w:r>
        <w:t xml:space="preserve"> </w:t>
      </w:r>
      <w:r>
        <w:t xml:space="preserve">Implementing digital tools to reduce the administrative burden on Social Workers, allowing more time for direct client care.</w:t>
      </w:r>
    </w:p>
    <w:p>
      <w:pPr>
        <w:numPr>
          <w:ilvl w:val="0"/>
          <w:numId w:val="1003"/>
        </w:numPr>
        <w:pStyle w:val="Compact"/>
      </w:pPr>
      <w:r>
        <w:rPr>
          <w:bCs/>
          <w:b/>
        </w:rPr>
        <w:t xml:space="preserve">Mental Health Support for Practitioners:</w:t>
      </w:r>
      <w:r>
        <w:t xml:space="preserve"> </w:t>
      </w:r>
      <w:r>
        <w:t xml:space="preserve">Establishing mandatory debriefing and support systems for those dealing with high-trauma cases in Sydney.</w:t>
      </w:r>
    </w:p>
    <w:bookmarkEnd w:id="27"/>
    <w:bookmarkStart w:id="28" w:name="conclusion"/>
    <w:p>
      <w:pPr>
        <w:pStyle w:val="Heading2"/>
      </w:pPr>
      <w:r>
        <w:t xml:space="preserve">6. Conclusion</w:t>
      </w:r>
    </w:p>
    <w:p>
      <w:pPr>
        <w:pStyle w:val="FirstParagraph"/>
      </w:pPr>
      <w:r>
        <w:t xml:space="preserve">This laboratory report on Social Work in Australia, Sydney, underscores the complexity and critical importance of the profession. The Social Worker is not merely a service provider but a vital advocate within the Australian social fabric. The specific challenges faced in Sydney—ranging from housing crises to cultural integration—highlight the need for adaptive, resilient, and well-supported professional practices.</w:t>
      </w:r>
    </w:p>
    <w:p>
      <w:pPr>
        <w:pStyle w:val="BodyText"/>
      </w:pPr>
      <w:r>
        <w:t xml:space="preserve">The findings confirm that effective Social Work requires more than just clinical knowledge; it demands a deep understanding of local legislative frameworks, cultural sensitivities, and systemic inequities. As the landscape of social welfare continues to evolve in Australia, ongoing research and adaptation of these frameworks are essential to ensure that vulnerable populations receive the dignified care they deserve.</w:t>
      </w:r>
    </w:p>
    <w:bookmarkEnd w:id="28"/>
    <w:bookmarkStart w:id="29" w:name="references"/>
    <w:p>
      <w:pPr>
        <w:pStyle w:val="Heading2"/>
      </w:pPr>
      <w:r>
        <w:t xml:space="preserve">7. References</w:t>
      </w:r>
    </w:p>
    <w:p>
      <w:pPr>
        <w:numPr>
          <w:ilvl w:val="0"/>
          <w:numId w:val="1004"/>
        </w:numPr>
        <w:pStyle w:val="Compact"/>
      </w:pPr>
      <w:r>
        <w:t xml:space="preserve">Australian Association of Social Workers (AASW). (2020). Code of Ethics.</w:t>
      </w:r>
    </w:p>
    <w:p>
      <w:pPr>
        <w:numPr>
          <w:ilvl w:val="0"/>
          <w:numId w:val="1004"/>
        </w:numPr>
        <w:pStyle w:val="Compact"/>
      </w:pPr>
      <w:r>
        <w:t xml:space="preserve">New South Wales Department of Communities and Justice. (2023). State Plan for Domestic, Family and Sexual Violence.</w:t>
      </w:r>
    </w:p>
    <w:p>
      <w:pPr>
        <w:numPr>
          <w:ilvl w:val="0"/>
          <w:numId w:val="1004"/>
        </w:numPr>
        <w:pStyle w:val="Compact"/>
      </w:pPr>
      <w:r>
        <w:t xml:space="preserve">National Disability Insurance Scheme Agency. (NDIA) Annual Report 2021-2023.</w:t>
      </w:r>
    </w:p>
    <w:p>
      <w:pPr>
        <w:numPr>
          <w:ilvl w:val="0"/>
          <w:numId w:val="1004"/>
        </w:numPr>
        <w:pStyle w:val="Compact"/>
      </w:pPr>
      <w:r>
        <w:t xml:space="preserve">Sydney Local Health District. (SLHD) Community Mental Health Service Evaluation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 Frameworks in Australia, Sydney</dc:title>
  <dc:creator/>
  <cp:keywords/>
  <dcterms:created xsi:type="dcterms:W3CDTF">2026-07-29T16:37:24Z</dcterms:created>
  <dcterms:modified xsi:type="dcterms:W3CDTF">2026-07-29T16:37:24Z</dcterms:modified>
</cp:coreProperties>
</file>

<file path=docProps/custom.xml><?xml version="1.0" encoding="utf-8"?>
<Properties xmlns="http://schemas.openxmlformats.org/officeDocument/2006/custom-properties" xmlns:vt="http://schemas.openxmlformats.org/officeDocument/2006/docPropsVTypes"/>
</file>