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Practice</w:t>
      </w:r>
      <w:r>
        <w:t xml:space="preserve"> </w:t>
      </w:r>
      <w:r>
        <w:t xml:space="preserve">Analysis</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Canada</w:t>
      </w:r>
      <w:r>
        <w:t xml:space="preserve"> </w:t>
      </w:r>
      <w:r>
        <w:t xml:space="preserve">Montreal</w:t>
      </w:r>
    </w:p>
    <w:bookmarkStart w:id="20" w:name="X440fc028bc5cf4fa2c726c16722298af0998e08"/>
    <w:p>
      <w:pPr>
        <w:pStyle w:val="Heading1"/>
      </w:pPr>
      <w:r>
        <w:t xml:space="preserve">Laboratory Report on Social Work Practice</w:t>
      </w:r>
    </w:p>
    <w:p>
      <w:pPr>
        <w:pStyle w:val="FirstParagraph"/>
      </w:pPr>
      <w:r>
        <w:rPr>
          <w:bCs/>
          <w:b/>
        </w:rPr>
        <w:t xml:space="preserve">Jurisdiction:</w:t>
      </w:r>
      <w:r>
        <w:t xml:space="preserve"> </w:t>
      </w:r>
      <w:r>
        <w:t xml:space="preserve">Canada, Montreal Region (Quebec)</w:t>
      </w:r>
    </w:p>
    <w:p>
      <w:pPr>
        <w:pStyle w:val="BodyText"/>
      </w:pPr>
      <w:r>
        <w:rPr>
          <w:bCs/>
          <w:b/>
        </w:rPr>
        <w:t xml:space="preserve">Date:</w:t>
      </w:r>
      <w:r>
        <w:t xml:space="preserve"> </w:t>
      </w:r>
      <w:r>
        <w:t xml:space="preserve">October 26, 2023</w:t>
      </w:r>
    </w:p>
    <w:p>
      <w:pPr>
        <w:pStyle w:val="BodyText"/>
      </w:pPr>
      <w:r>
        <w:rPr>
          <w:bCs/>
          <w:b/>
        </w:rPr>
        <w:t xml:space="preserve">Metric Standard:</w:t>
      </w:r>
      <w:r>
        <w:t xml:space="preserve"> </w:t>
      </w:r>
      <w:r>
        <w:t xml:space="preserve">Metric System (SI)</w:t>
      </w:r>
    </w:p>
    <w:bookmarkEnd w:id="20"/>
    <w:bookmarkStart w:id="21" w:name="Xf56fbda90e47ac97a41204f07e1d9db96eb28c5"/>
    <w:p>
      <w:pPr>
        <w:pStyle w:val="Heading2"/>
      </w:pPr>
      <w:r>
        <w:t xml:space="preserve">Absolute Zero: Understanding the Lab Report Format for Social Work</w:t>
      </w:r>
    </w:p>
    <w:p>
      <w:pPr>
        <w:pStyle w:val="FirstParagraph"/>
      </w:pPr>
      <w:r>
        <w:t xml:space="preserve">In scientific disciplines, a lab report is the standard method for documenting experimental procedures, observations, and conclusions. In the context of social work within Canada and specifically Montreal, this format must be adapted to serve as a rigorous documentation of psychosocial interventions. The "Lab" in this metaphorical sense refers to the field setting—the community center in Hochelaga-Maisonneuve or the hospital in Verdun—where hypotheses about human behavior are tested through therapeutic engagement. This document serves as a comprehensive analysis of how a</w:t>
      </w:r>
      <w:r>
        <w:t xml:space="preserve"> </w:t>
      </w:r>
      <w:r>
        <w:rPr>
          <w:bCs/>
          <w:b/>
        </w:rPr>
        <w:t xml:space="preserve">Social Worker</w:t>
      </w:r>
      <w:r>
        <w:t xml:space="preserve"> </w:t>
      </w:r>
      <w:r>
        <w:t xml:space="preserve">operates within the unique regulatory and cultural framework of</w:t>
      </w:r>
      <w:r>
        <w:t xml:space="preserve"> </w:t>
      </w:r>
      <w:r>
        <w:rPr>
          <w:bCs/>
          <w:b/>
        </w:rPr>
        <w:t xml:space="preserve">Canada Montreal</w:t>
      </w:r>
      <w:r>
        <w:t xml:space="preserve">.</w:t>
      </w:r>
    </w:p>
    <w:bookmarkEnd w:id="21"/>
    <w:bookmarkStart w:id="24" w:name="X5e912d08e9dece25ce2e0a8e2e54c93e43718b2"/>
    <w:p>
      <w:pPr>
        <w:pStyle w:val="Heading2"/>
      </w:pPr>
      <w:r>
        <w:t xml:space="preserve">Hypothesis: The Efficacy of Culturally Competent Intervention in Quebec</w:t>
      </w:r>
    </w:p>
    <w:p>
      <w:pPr>
        <w:pStyle w:val="FirstParagraph"/>
      </w:pPr>
      <w:r>
        <w:t xml:space="preserve">The primary objective of this analysis is to determine how a licensed social worker integrates provincial mandates with local community needs. In Montreal, a city characterized by its distinct linguistic duality and multicultural fabric, the hypothesis posits that effective social work practice requires a synthesis of French-language regulatory compliance (under the Ordre des travailleurs sociaux et des thérapeutes conjugaux et familiaux du Québec) and English-speaking cultural advocacy.</w:t>
      </w:r>
    </w:p>
    <w:bookmarkStart w:id="22" w:name="Xc495cf7e2a4aca5cd3127ea68bc489ee91848e8"/>
    <w:p>
      <w:pPr>
        <w:pStyle w:val="Heading3"/>
      </w:pPr>
      <w:r>
        <w:t xml:space="preserve">Variable 1: Legal and Regulatory Framework in Canada</w:t>
      </w:r>
    </w:p>
    <w:p>
      <w:pPr>
        <w:pStyle w:val="FirstParagraph"/>
      </w:pPr>
      <w:r>
        <w:t xml:space="preserve">Social work is a regulated profession in Quebec, which is part of Canada. Unlike some other jurisdictions where social work may be less strictly defined legally, here the role of the social worker is bound by specific codes of ethics established by the provincial order. The "lab conditions" are strict; any deviation from these ethical guidelines can result in professional censure. Therefore, every intervention must be documented with precision akin to recording chemical reactions in a chemistry lab.</w:t>
      </w:r>
    </w:p>
    <w:bookmarkEnd w:id="22"/>
    <w:bookmarkStart w:id="23" w:name="X2d82f41d699e7f9e060e8c53026a99444c6de90"/>
    <w:p>
      <w:pPr>
        <w:pStyle w:val="Heading3"/>
      </w:pPr>
      <w:r>
        <w:t xml:space="preserve">Variable 2: Linguistic Dynamics in Montreal</w:t>
      </w:r>
    </w:p>
    <w:p>
      <w:pPr>
        <w:pStyle w:val="FirstParagraph"/>
      </w:pPr>
      <w:r>
        <w:t xml:space="preserve">Montreal is the second-largest French-speaking city in the world. Consequently, a significant portion of documentation and client interaction occurs in French. However, due to the diverse immigration patterns into Canada and specifically Montreal, English remains a vital tool for social workers serving new immigrant populations. The social worker must act as a linguistic bridge, ensuring that services are accessible regardless of language proficiency while adhering to Quebec’s Bill 96 regarding the official language of business and administration.</w:t>
      </w:r>
    </w:p>
    <w:bookmarkEnd w:id="23"/>
    <w:bookmarkEnd w:id="24"/>
    <w:bookmarkStart w:id="25" w:name="Xc5166d00844d935928682611fc59797bb99ddee"/>
    <w:p>
      <w:pPr>
        <w:pStyle w:val="Heading2"/>
      </w:pPr>
      <w:r>
        <w:t xml:space="preserve">Materials and Methods: The Tools of Social Work</w:t>
      </w:r>
    </w:p>
    <w:p>
      <w:pPr>
        <w:pStyle w:val="FirstParagraph"/>
      </w:pPr>
      <w:r>
        <w:t xml:space="preserve">To conduct this "experiment" in human welfare, several key materials are required:</w:t>
      </w:r>
    </w:p>
    <w:p>
      <w:pPr>
        <w:numPr>
          <w:ilvl w:val="0"/>
          <w:numId w:val="1001"/>
        </w:numPr>
        <w:pStyle w:val="Compact"/>
      </w:pPr>
      <w:r>
        <w:rPr>
          <w:bCs/>
          <w:b/>
        </w:rPr>
        <w:t xml:space="preserve">Clinical Assessment Tools:</w:t>
      </w:r>
      <w:r>
        <w:t xml:space="preserve"> </w:t>
      </w:r>
      <w:r>
        <w:t xml:space="preserve">Standardized forms used to evaluate mental health, housing stability, and financial resources.</w:t>
      </w:r>
    </w:p>
    <w:p>
      <w:pPr>
        <w:numPr>
          <w:ilvl w:val="0"/>
          <w:numId w:val="1001"/>
        </w:numPr>
        <w:pStyle w:val="Compact"/>
      </w:pPr>
      <w:r>
        <w:rPr>
          <w:bCs/>
          <w:b/>
        </w:rPr>
        <w:t xml:space="preserve">Knowledge of Provincial Services:</w:t>
      </w:r>
    </w:p>
    <w:p>
      <w:pPr>
        <w:numPr>
          <w:ilvl w:val="0"/>
          <w:numId w:val="1001"/>
        </w:numPr>
        <w:pStyle w:val="Compact"/>
      </w:pPr>
      <w:r>
        <w:rPr>
          <w:bCs/>
          <w:b/>
        </w:rPr>
        <w:t xml:space="preserve">Cultural Competency Training:</w:t>
      </w:r>
      <w:r>
        <w:t xml:space="preserve"> </w:t>
      </w:r>
      <w:r>
        <w:t xml:space="preserve">Specific training to address the needs of Indigenous populations, recent immigrants, and the LGBTQ+ community within a Canadian context.</w:t>
      </w:r>
    </w:p>
    <w:bookmarkEnd w:id="25"/>
    <w:bookmarkStart w:id="26" w:name="procedures-the-intervention-process"/>
    <w:p>
      <w:pPr>
        <w:pStyle w:val="Heading2"/>
      </w:pPr>
      <w:r>
        <w:t xml:space="preserve">Procedures: The Intervention Process</w:t>
      </w:r>
    </w:p>
    <w:p>
      <w:pPr>
        <w:pStyle w:val="FirstParagraph"/>
      </w:pPr>
      <w:r>
        <w:t xml:space="preserve">The procedure for a social worker in Montreal typically follows a structured pathway:</w:t>
      </w:r>
    </w:p>
    <w:p>
      <w:pPr>
        <w:numPr>
          <w:ilvl w:val="0"/>
          <w:numId w:val="1002"/>
        </w:numPr>
        <w:pStyle w:val="Compact"/>
      </w:pPr>
      <w:r>
        <w:rPr>
          <w:bCs/>
          <w:b/>
        </w:rPr>
        <w:t xml:space="preserve">Triage and Intake:</w:t>
      </w:r>
      <w:r>
        <w:t xml:space="preserve"> </w:t>
      </w:r>
      <w:r>
        <w:t xml:space="preserve">The client presents with a crisis. In the Montreal context, this might involve language barriers or confusion between federal (Canada) and provincial (Quebec) benefits. The social worker must quickly ascertain eligibility for services.</w:t>
      </w:r>
    </w:p>
    <w:p>
      <w:pPr>
        <w:numPr>
          <w:ilvl w:val="0"/>
          <w:numId w:val="1002"/>
        </w:numPr>
        <w:pStyle w:val="Compact"/>
      </w:pPr>
      <w:r>
        <w:rPr>
          <w:bCs/>
          <w:b/>
        </w:rPr>
        <w:t xml:space="preserve">Assessment:</w:t>
      </w:r>
      <w:r>
        <w:t xml:space="preserve"> </w:t>
      </w:r>
      <w:r>
        <w:t xml:space="preserve">A thorough evaluation of the client’s psychosocial status. This involves taking a detailed history, considering the impact of systemic racism, poverty, or isolation.</w:t>
      </w:r>
    </w:p>
    <w:p>
      <w:pPr>
        <w:numPr>
          <w:ilvl w:val="0"/>
          <w:numId w:val="1002"/>
        </w:numPr>
        <w:pStyle w:val="Compact"/>
      </w:pPr>
      <w:r>
        <w:rPr>
          <w:bCs/>
          <w:b/>
        </w:rPr>
        <w:t xml:space="preserve">Intervention Plan:</w:t>
      </w:r>
      <w:r>
        <w:t xml:space="preserve"> </w:t>
      </w:r>
      <w:r>
        <w:t xml:space="preserve">Developing a goals-based plan. For example, if assisting a refugee family in Ahuntsic-Cartierville, the plan may include enrollment in French language classes (OQRF) alongside mental health support.</w:t>
      </w:r>
    </w:p>
    <w:p>
      <w:pPr>
        <w:numPr>
          <w:ilvl w:val="0"/>
          <w:numId w:val="1002"/>
        </w:numPr>
        <w:pStyle w:val="Compact"/>
      </w:pPr>
      <w:r>
        <w:rPr>
          <w:bCs/>
          <w:b/>
        </w:rPr>
        <w:t xml:space="preserve">Mobilization of Resources:</w:t>
      </w:r>
      <w:r>
        <w:t xml:space="preserve"> </w:t>
      </w:r>
      <w:r>
        <w:t xml:space="preserve">Connecting the client with housing authorities (Sodimco), food banks, and employment services. This stage requires navigating bureaucratic hurdles unique to the Canadian welfare state.</w:t>
      </w:r>
    </w:p>
    <w:p>
      <w:pPr>
        <w:numPr>
          <w:ilvl w:val="0"/>
          <w:numId w:val="1002"/>
        </w:numPr>
        <w:pStyle w:val="Compact"/>
      </w:pPr>
      <w:r>
        <w:rPr>
          <w:bCs/>
          <w:b/>
        </w:rPr>
        <w:t xml:space="preserve">Evaluation and Closure:</w:t>
      </w:r>
      <w:r>
        <w:t xml:space="preserve"> </w:t>
      </w:r>
      <w:r>
        <w:t xml:space="preserve">Reviewing progress against established goals. Documentation must be clear, concise, and legally defensible.</w:t>
      </w:r>
    </w:p>
    <w:bookmarkEnd w:id="26"/>
    <w:bookmarkStart w:id="27" w:name="X137fae5e19145d5d304764f4564530b55ed2fe2"/>
    <w:p>
      <w:pPr>
        <w:pStyle w:val="Heading2"/>
      </w:pPr>
      <w:r>
        <w:t xml:space="preserve">Data Analysis: Observations on Systemic Challenges</w:t>
      </w:r>
    </w:p>
    <w:p>
      <w:pPr>
        <w:pStyle w:val="FirstParagraph"/>
      </w:pPr>
      <w:r>
        <w:t xml:space="preserve">Data collected from various case studies in Montreal reveals recurring themes. The housing crisis is a dominant variable; rent prices in the Greater Montreal Area have risen sharply, affecting vulnerable populations disproportionately. Social workers are often forced to act as emergency shelter coordinators due to gaps in federal and provincial safety nets.</w:t>
      </w:r>
    </w:p>
    <w:p>
      <w:pPr>
        <w:pStyle w:val="BodyText"/>
      </w:pPr>
      <w:r>
        <w:t xml:space="preserve">Furthermore, the mental health burden post-pandemic has increased demand for psychological services. In Canada, wait times for public mental health care can be lengthy. Montreal social workers often fill this gap by providing low-barrier counseling and advocacy within community centers. The "data" indicates that early intervention leads to significantly better long-term outcomes regarding employment and housing stability.</w:t>
      </w:r>
    </w:p>
    <w:bookmarkEnd w:id="27"/>
    <w:bookmarkStart w:id="28" w:name="Xc2f5beaff7cca71f9e58e9fb76e23d18ffe5004"/>
    <w:p>
      <w:pPr>
        <w:pStyle w:val="Heading2"/>
      </w:pPr>
      <w:r>
        <w:t xml:space="preserve">Discussion: The Role of the Social Worker in Canada Montreal</w:t>
      </w:r>
    </w:p>
    <w:p>
      <w:pPr>
        <w:pStyle w:val="FirstParagraph"/>
      </w:pPr>
      <w:r>
        <w:t xml:space="preserve">The discussion phase highlights the dual identity of the social worker in this region. They are agents of both federal Canadian values (inclusion, diversity) and provincial Quebec norms (secularism, francization). This duality can create tension but also offers a unique opportunity for holistic practice.</w:t>
      </w:r>
    </w:p>
    <w:p>
      <w:pPr>
        <w:pStyle w:val="BodyText"/>
      </w:pPr>
      <w:r>
        <w:t xml:space="preserve">For instance, when dealing with Indigenous communities in Montreal, the social worker must apply the Truth and Reconciliation Commission’s Calls to Action. This involves recognizing historical trauma related to colonization and residential schools. The lab report of their practice must reflect an anti-oppressive framework that challenges systemic inequalities.</w:t>
      </w:r>
    </w:p>
    <w:p>
      <w:pPr>
        <w:pStyle w:val="BodyText"/>
      </w:pPr>
      <w:r>
        <w:t xml:space="preserve">Additionally, the bilingual nature of Montreal means that social workers often serve as cultural liaisons. They decode the complex web of Canadian bureaucracy for those who do not understand its intricacies. This role extends beyond traditional casework into civic engagement and policy advocacy.</w:t>
      </w:r>
    </w:p>
    <w:bookmarkEnd w:id="28"/>
    <w:bookmarkStart w:id="29" w:name="conclusion"/>
    <w:p>
      <w:pPr>
        <w:pStyle w:val="Heading2"/>
      </w:pPr>
      <w:r>
        <w:t xml:space="preserve">Conclusion</w:t>
      </w:r>
    </w:p>
    <w:p>
      <w:pPr>
        <w:pStyle w:val="FirstParagraph"/>
      </w:pPr>
      <w:r>
        <w:t xml:space="preserve">This lab report analysis demonstrates that the role of a social worker in Canada, Montreal, is multifaceted and complex. It requires rigorous adherence to provincial regulations (Ordre des travailleurs sociaux), linguistic versatility (French/English), and a deep commitment to social justice principles inherent in Canadian society.</w:t>
      </w:r>
    </w:p>
    <w:p>
      <w:pPr>
        <w:pStyle w:val="BodyText"/>
      </w:pPr>
      <w:r>
        <w:t xml:space="preserve">The "experiment" of social work in this jurisdiction confirms that effective practice is not merely about applying therapeutic techniques but about navigating the structural landscape of the city. The success of interventions relies heavily on the worker’s ability to bridge gaps between isolated individuals and the extensive, yet sometimes inaccessible, resources available in Montreal.</w:t>
      </w:r>
    </w:p>
    <w:bookmarkEnd w:id="29"/>
    <w:bookmarkStart w:id="30" w:name="recommendations-for-future-research"/>
    <w:p>
      <w:pPr>
        <w:pStyle w:val="Heading2"/>
      </w:pPr>
      <w:r>
        <w:t xml:space="preserve">Recommendations for Future Research</w:t>
      </w:r>
    </w:p>
    <w:p>
      <w:pPr>
        <w:numPr>
          <w:ilvl w:val="0"/>
          <w:numId w:val="1003"/>
        </w:numPr>
        <w:pStyle w:val="Compact"/>
      </w:pPr>
      <w:r>
        <w:rPr>
          <w:bCs/>
          <w:b/>
        </w:rPr>
        <w:t xml:space="preserve">Digital Integration:</w:t>
      </w:r>
      <w:r>
        <w:t xml:space="preserve"> </w:t>
      </w:r>
      <w:r>
        <w:t xml:space="preserve">Investigate how telehealth services impact social work delivery in rural areas surrounding Montreal.</w:t>
      </w:r>
    </w:p>
    <w:p>
      <w:pPr>
        <w:numPr>
          <w:ilvl w:val="0"/>
          <w:numId w:val="1003"/>
        </w:numPr>
        <w:pStyle w:val="Compact"/>
      </w:pPr>
      <w:r>
        <w:rPr>
          <w:bCs/>
          <w:b/>
        </w:rPr>
        <w:t xml:space="preserve">Housing First Models:</w:t>
      </w:r>
      <w:r>
        <w:t xml:space="preserve"> </w:t>
      </w:r>
      <w:r>
        <w:t xml:space="preserve">Analyze the long-term efficacy of Housing First initiatives specifically within the Montreal boroughs with highest poverty rates.</w:t>
      </w:r>
    </w:p>
    <w:p>
      <w:pPr>
        <w:numPr>
          <w:ilvl w:val="0"/>
          <w:numId w:val="1003"/>
        </w:numPr>
        <w:pStyle w:val="Compact"/>
      </w:pPr>
      <w:r>
        <w:rPr>
          <w:bCs/>
          <w:b/>
        </w:rPr>
        <w:t xml:space="preserve">Linguistic Access:</w:t>
      </w:r>
      <w:r>
        <w:t xml:space="preserve"> </w:t>
      </w:r>
      <w:r>
        <w:t xml:space="preserve">Study best practices for providing English-language social work services in predominantly Francophone institutional settings to ensure equity.</w:t>
      </w:r>
    </w:p>
    <w:p>
      <w:pPr>
        <w:pStyle w:val="FirstParagraph"/>
      </w:pPr>
      <w:r>
        <w:rPr>
          <w:iCs/>
          <w:i/>
        </w:rPr>
        <w:t xml:space="preserve">Note: All observations and conclusions are based on the standard operating procedures of regulated social work practice in Quebec, Canada. Specific case details have been anonymized to protect client confidentiality in accordance with privacy laws.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Practice Analysis of Social Work in Canada Montreal</dc:title>
  <dc:creator/>
  <dc:language>en</dc:language>
  <cp:keywords/>
  <dcterms:created xsi:type="dcterms:W3CDTF">2026-07-29T10:12:03Z</dcterms:created>
  <dcterms:modified xsi:type="dcterms:W3CDTF">2026-07-29T10:12:03Z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