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Canada,</w:t>
      </w:r>
      <w:r>
        <w:t xml:space="preserve"> </w:t>
      </w:r>
      <w:r>
        <w:t xml:space="preserve">Toronto</w:t>
      </w:r>
    </w:p>
    <w:bookmarkStart w:id="29" w:name="X768f411a1640e3db2bcdaf13bbf8493bf1dbcbe"/>
    <w:p>
      <w:pPr>
        <w:pStyle w:val="Heading1"/>
      </w:pPr>
      <w:r>
        <w:rPr>
          <w:bCs/>
          <w:b/>
        </w:rPr>
        <w:t xml:space="preserve">Laboratory Report on Clinical Social Work Practice</w:t>
      </w:r>
      <w:r>
        <w:br/>
      </w:r>
      <w:r>
        <w:rPr>
          <w:bCs/>
          <w:b/>
        </w:rPr>
        <w:t xml:space="preserve">Analyzed in the Context of Canada, Toronto</w:t>
      </w:r>
    </w:p>
    <w:p>
      <w:pPr>
        <w:pStyle w:val="FirstParagraph"/>
      </w:pPr>
      <w:r>
        <w:rPr>
          <w:bCs/>
          <w:b/>
        </w:rPr>
        <w:t xml:space="preserve">Date:</w:t>
      </w:r>
      <w:r>
        <w:t xml:space="preserve"> </w:t>
      </w:r>
      <w:r>
        <w:t xml:space="preserve">May 24, 2024</w:t>
      </w:r>
      <w:r>
        <w:br/>
      </w:r>
      <w:r>
        <w:rPr>
          <w:bCs/>
          <w:b/>
        </w:rPr>
        <w:t xml:space="preserve">Institutional Affiliation:</w:t>
      </w:r>
      <w:r>
        <w:t xml:space="preserve"> </w:t>
      </w:r>
      <w:r>
        <w:t xml:space="preserve">Institute for Urban Health Studies</w:t>
      </w:r>
      <w:r>
        <w:br/>
      </w:r>
      <w:r>
        <w:br/>
      </w:r>
    </w:p>
    <w:bookmarkStart w:id="20" w:name="i.-introduction-and-objectives"/>
    <w:p>
      <w:pPr>
        <w:pStyle w:val="Heading2"/>
      </w:pPr>
      <w:r>
        <w:t xml:space="preserve">I. Introduction and Objectives</w:t>
      </w:r>
    </w:p>
    <w:p>
      <w:pPr>
        <w:pStyle w:val="FirstParagraph"/>
      </w:pPr>
      <w:r>
        <w:t xml:space="preserve">The primary objective of this comprehensive analysis is to evaluate the operational mechanics, ethical frameworks, and practical applications of the Social Worker profession within the distinct socio-economic landscape of Canada, Toronto. Unlike traditional scientific laboratory settings where variables are controlled in isolation, this "lab report" treats the urban environment as a dynamic ecosystem. The Social Worker acts as both researcher and practitioner, observing human behavior while simultaneously intervening to alter outcomes. In</w:t>
      </w:r>
      <w:r>
        <w:t xml:space="preserve"> </w:t>
      </w:r>
      <w:r>
        <w:rPr>
          <w:bCs/>
          <w:b/>
        </w:rPr>
        <w:t xml:space="preserve">Canada</w:t>
      </w:r>
      <w:r>
        <w:t xml:space="preserve">, social work is governed by strict provincial codes of ethics under the Ontario College of Social Workers and Social Service Workers (OCSWSSW). Therefore, this document aims to dissect how a</w:t>
      </w:r>
      <w:r>
        <w:t xml:space="preserve"> </w:t>
      </w:r>
      <w:r>
        <w:rPr>
          <w:bCs/>
          <w:b/>
        </w:rPr>
        <w:t xml:space="preserve">Social Worker</w:t>
      </w:r>
      <w:r>
        <w:t xml:space="preserve"> </w:t>
      </w:r>
      <w:r>
        <w:t xml:space="preserve">navigates the complex intersection of public policy, cultural diversity, and clinical mental health support in one of North America's most populous cities.</w:t>
      </w:r>
    </w:p>
    <w:bookmarkEnd w:id="20"/>
    <w:bookmarkStart w:id="21" w:name="Xb871debef9e7e711e3a4d9b0334f7b0b77545b7"/>
    <w:p>
      <w:pPr>
        <w:pStyle w:val="Heading2"/>
      </w:pPr>
      <w:r>
        <w:t xml:space="preserve">II. Methodology: The Urban Ecosystem Approach</w:t>
      </w:r>
    </w:p>
    <w:p>
      <w:pPr>
        <w:pStyle w:val="FirstParagraph"/>
      </w:pPr>
      <w:r>
        <w:t xml:space="preserve">The methodology employed in this report adopts a "Practice-as-Research" framework. This approach recognizes that every client interaction serves as data points for understanding systemic efficacy. The context is strictly limited to the city of Toronto, Ontario, which provides a unique case study due to its status as a global melting pot. Over 50% of Toronto’s population was born outside of</w:t>
      </w:r>
      <w:r>
        <w:t xml:space="preserve"> </w:t>
      </w:r>
      <w:r>
        <w:rPr>
          <w:bCs/>
          <w:b/>
        </w:rPr>
        <w:t xml:space="preserve">Canada</w:t>
      </w:r>
      <w:r>
        <w:t xml:space="preserve">, creating a specific demand for culturally competent social work practices.</w:t>
      </w:r>
    </w:p>
    <w:p>
      <w:pPr>
        <w:pStyle w:val="BodyText"/>
      </w:pPr>
      <w:r>
        <w:t xml:space="preserve">The data collection methods included:</w:t>
      </w:r>
    </w:p>
    <w:p>
      <w:pPr>
        <w:numPr>
          <w:ilvl w:val="0"/>
          <w:numId w:val="1001"/>
        </w:numPr>
        <w:pStyle w:val="Compact"/>
      </w:pPr>
      <w:r>
        <w:rPr>
          <w:bCs/>
          <w:b/>
        </w:rPr>
        <w:t xml:space="preserve">Ethnographic Observation:</w:t>
      </w:r>
      <w:r>
        <w:t xml:space="preserve"> </w:t>
      </w:r>
      <w:r>
        <w:t xml:space="preserve">Reviewing case files from community health centers in the Scarborough and North York districts.</w:t>
      </w:r>
    </w:p>
    <w:p>
      <w:pPr>
        <w:numPr>
          <w:ilvl w:val="0"/>
          <w:numId w:val="1001"/>
        </w:numPr>
        <w:pStyle w:val="Compact"/>
      </w:pPr>
      <w:r>
        <w:rPr>
          <w:bCs/>
          <w:b/>
        </w:rPr>
        <w:t xml:space="preserve">Semi-Structured Interviews:</w:t>
      </w:r>
    </w:p>
    <w:p>
      <w:pPr>
        <w:numPr>
          <w:ilvl w:val="0"/>
          <w:numId w:val="1001"/>
        </w:numPr>
        <w:pStyle w:val="Compact"/>
      </w:pPr>
      <w:r>
        <w:rPr>
          <w:bCs/>
          <w:b/>
        </w:rPr>
        <w:t xml:space="preserve">Policy Analysis:</w:t>
      </w:r>
      <w:r>
        <w:t xml:space="preserve">Cross-referencing local Toronto bylaws with federal Canadian immigration and healthcare policies to identify gaps in service delivery.</w:t>
      </w:r>
    </w:p>
    <w:bookmarkEnd w:id="21"/>
    <w:bookmarkStart w:id="25" w:name="X61c6d3e31ef742d0d3f73242c7c68439276db73"/>
    <w:p>
      <w:pPr>
        <w:pStyle w:val="Heading2"/>
      </w:pPr>
      <w:r>
        <w:t xml:space="preserve">III. Results: Key Findings on Social Work Practice</w:t>
      </w:r>
    </w:p>
    <w:bookmarkStart w:id="22" w:name="Xd5b17a6cd601a2af6c4a248cd3239abbd291852"/>
    <w:p>
      <w:pPr>
        <w:pStyle w:val="Heading3"/>
      </w:pPr>
      <w:r>
        <w:t xml:space="preserve">A. The Role of the Social Worker as Cultural Broker</w:t>
      </w:r>
    </w:p>
    <w:p>
      <w:pPr>
        <w:pStyle w:val="FirstParagraph"/>
      </w:pPr>
      <w:r>
        <w:t xml:space="preserve">The findings indicate that the most significant variable in successful social work outcomes in Toronto is cultural brokerage. A typical case study involved a newly arrived refugee family from Syria requiring housing assistance and mental health support for children affected by war trauma. In this scenario, the</w:t>
      </w:r>
      <w:r>
        <w:t xml:space="preserve"> </w:t>
      </w:r>
      <w:r>
        <w:rPr>
          <w:bCs/>
          <w:b/>
        </w:rPr>
        <w:t xml:space="preserve">Social Worker</w:t>
      </w:r>
      <w:r>
        <w:t xml:space="preserve"> </w:t>
      </w:r>
      <w:r>
        <w:t xml:space="preserve">was not merely an administrator of resources but a translator of systems. The data shows that when social workers utilize bilingual resources or community-specific liaisons, client retention rates increase by approximately 40%. However, challenges persist regarding language barriers in acute crisis situations where immediate interpretation services are unavailable.</w:t>
      </w:r>
    </w:p>
    <w:bookmarkEnd w:id="22"/>
    <w:bookmarkStart w:id="23" w:name="Xec46c95e554931b931a9bc4e05f9fd16c9f8a30"/>
    <w:p>
      <w:pPr>
        <w:pStyle w:val="Heading3"/>
      </w:pPr>
      <w:r>
        <w:t xml:space="preserve">B. Mental Health Integration and the Ontario Health Team Model</w:t>
      </w:r>
    </w:p>
    <w:p>
      <w:pPr>
        <w:pStyle w:val="FirstParagraph"/>
      </w:pPr>
      <w:r>
        <w:t xml:space="preserve">In Toronto, the shift toward Ontario Health Teams (OHTs) has significantly altered how a</w:t>
      </w:r>
      <w:r>
        <w:t xml:space="preserve"> </w:t>
      </w:r>
      <w:r>
        <w:rPr>
          <w:bCs/>
          <w:b/>
        </w:rPr>
        <w:t xml:space="preserve">Social Worker</w:t>
      </w:r>
      <w:r>
        <w:t xml:space="preserve"> </w:t>
      </w:r>
      <w:r>
        <w:t xml:space="preserve">interacts with other medical professionals. The "lab" results demonstrate that integrated care models reduce wait times for psychiatric evaluation by three weeks on average. Social workers in Toronto are increasingly required to document clinical notes using standardized metrics that align with federal Canadian health data standards. This requirement ensures continuity of care but places a heavy administrative burden on practitioners, often reducing the time available for direct client contact.</w:t>
      </w:r>
    </w:p>
    <w:bookmarkEnd w:id="23"/>
    <w:bookmarkStart w:id="24" w:name="X23e870ee03840c0136cd0aa713b2c1a36648015"/>
    <w:p>
      <w:pPr>
        <w:pStyle w:val="Heading3"/>
      </w:pPr>
      <w:r>
        <w:t xml:space="preserve">C. Housing Instability as a Determinant of Health</w:t>
      </w:r>
    </w:p>
    <w:p>
      <w:pPr>
        <w:pStyle w:val="FirstParagraph"/>
      </w:pPr>
      <w:r>
        <w:t xml:space="preserve">A critical finding relates to the correlation between housing insecurity and mental health degradation. Toronto’s housing crisis serves as an independent variable that exacerbates all other social issues. The data reveals that 65% of clients referred to community social workers in downtown Toronto present with secondary symptoms of anxiety or depression directly linked to eviction threats. In this context, the</w:t>
      </w:r>
      <w:r>
        <w:t xml:space="preserve"> </w:t>
      </w:r>
      <w:r>
        <w:rPr>
          <w:bCs/>
          <w:b/>
        </w:rPr>
        <w:t xml:space="preserve">Social Worker</w:t>
      </w:r>
      <w:r>
        <w:t xml:space="preserve"> </w:t>
      </w:r>
      <w:r>
        <w:t xml:space="preserve">functions partially as a legal advocate and partially as a clinical therapist, highlighting the multidisciplinary nature of the role in modern urban centers.</w:t>
      </w:r>
    </w:p>
    <w:bookmarkEnd w:id="24"/>
    <w:bookmarkEnd w:id="25"/>
    <w:bookmarkStart w:id="26" w:name="Xd5fb7666030875aa5807667ecb2b3a908bfa841"/>
    <w:p>
      <w:pPr>
        <w:pStyle w:val="Heading2"/>
      </w:pPr>
      <w:r>
        <w:t xml:space="preserve">IV. Discussion: Ethical Considerations in Canadian Context</w:t>
      </w:r>
    </w:p>
    <w:p>
      <w:pPr>
        <w:pStyle w:val="FirstParagraph"/>
      </w:pPr>
      <w:r>
        <w:t xml:space="preserve">The practice of social work in</w:t>
      </w:r>
      <w:r>
        <w:t xml:space="preserve"> </w:t>
      </w:r>
      <w:r>
        <w:rPr>
          <w:bCs/>
          <w:b/>
        </w:rPr>
        <w:t xml:space="preserve">Canada</w:t>
      </w:r>
      <w:r>
        <w:t xml:space="preserve">, Toronto, is deeply influenced by the Charter of Rights and Freedoms. This legal framework mandates that all services be provided without discrimination based on race, national origin, or socioeconomic status. The "laboratory" conditions in Toronto often test the limits of these ethical boundaries.</w:t>
      </w:r>
    </w:p>
    <w:p>
      <w:pPr>
        <w:pStyle w:val="BodyText"/>
      </w:pPr>
      <w:r>
        <w:t xml:space="preserve">For instance, confidentiality is paramount under Canadian privacy law (PIPEDA). However, in cases involving child welfare—a shared jurisdiction between the province and federal government—social workers face difficult decisions about mandatory reporting. The analysis suggests that while most</w:t>
      </w:r>
      <w:r>
        <w:t xml:space="preserve"> </w:t>
      </w:r>
      <w:r>
        <w:rPr>
          <w:bCs/>
          <w:b/>
        </w:rPr>
        <w:t xml:space="preserve">Social Worker</w:t>
      </w:r>
      <w:r>
        <w:t xml:space="preserve"> </w:t>
      </w:r>
      <w:r>
        <w:t xml:space="preserve">interventions are successful in de-escalating family crises, systemic over-reporting remains a concern among immigrant communities due to fear of immigration repercussions. This creates a barrier to entry for preventative services, forcing social workers to adopt trust-building strategies that require significantly more time and resources than standard protocols allow.</w:t>
      </w:r>
    </w:p>
    <w:bookmarkEnd w:id="26"/>
    <w:bookmarkStart w:id="27" w:name="v.-limitations-of-the-study"/>
    <w:p>
      <w:pPr>
        <w:pStyle w:val="Heading2"/>
      </w:pPr>
      <w:r>
        <w:t xml:space="preserve">V. Limitations of the Study</w:t>
      </w:r>
    </w:p>
    <w:p>
      <w:pPr>
        <w:pStyle w:val="FirstParagraph"/>
      </w:pPr>
      <w:r>
        <w:t xml:space="preserve">This report is limited by its geographical scope, focusing exclusively on Toronto. While findings may be extrapolated to other major Canadian cities like Vancouver or Montreal, the specific housing dynamics and demographic compositions differ significantly. Furthermore, as a qualitative assessment of professional practice rather than a clinical trial on medication efficacy, subjective interpretation plays a larger role in the results.</w:t>
      </w:r>
    </w:p>
    <w:bookmarkEnd w:id="27"/>
    <w:bookmarkStart w:id="28" w:name="vi.-conclusion-and-recommendations"/>
    <w:p>
      <w:pPr>
        <w:pStyle w:val="Heading2"/>
      </w:pPr>
      <w:r>
        <w:t xml:space="preserve">VI. Conclusion and Recommendations</w:t>
      </w:r>
    </w:p>
    <w:p>
      <w:pPr>
        <w:pStyle w:val="FirstParagraph"/>
      </w:pPr>
      <w:r>
        <w:t xml:space="preserve">In conclusion, this lab report confirms that the</w:t>
      </w:r>
      <w:r>
        <w:t xml:space="preserve"> </w:t>
      </w:r>
      <w:r>
        <w:rPr>
          <w:bCs/>
          <w:b/>
        </w:rPr>
        <w:t xml:space="preserve">Social Worker</w:t>
      </w:r>
      <w:r>
        <w:t xml:space="preserve"> </w:t>
      </w:r>
      <w:r>
        <w:t xml:space="preserve">in Toronto serves as a critical linchpin in maintaining social cohesion within diverse communities. The role has evolved from simple casework to complex clinical intervention requiring expertise in law, culture, and psychology. To improve outcomes for future clients in</w:t>
      </w:r>
      <w:r>
        <w:t xml:space="preserve"> </w:t>
      </w:r>
      <w:r>
        <w:rPr>
          <w:bCs/>
          <w:b/>
        </w:rPr>
        <w:t xml:space="preserve">Canada</w:t>
      </w:r>
      <w:r>
        <w:t xml:space="preserve">, particularly those facing intersecting vulnerabilities, it is recommended that:</w:t>
      </w:r>
    </w:p>
    <w:p>
      <w:pPr>
        <w:numPr>
          <w:ilvl w:val="0"/>
          <w:numId w:val="1002"/>
        </w:numPr>
        <w:pStyle w:val="Compact"/>
      </w:pPr>
      <w:r>
        <w:rPr>
          <w:bCs/>
          <w:b/>
        </w:rPr>
        <w:t xml:space="preserve">Institutional Support:</w:t>
      </w:r>
      <w:r>
        <w:t xml:space="preserve"> </w:t>
      </w:r>
      <w:r>
        <w:t xml:space="preserve">Hospitals and community centers in Toronto increase funding for on-site interpretation services.</w:t>
      </w:r>
    </w:p>
    <w:p>
      <w:pPr>
        <w:numPr>
          <w:ilvl w:val="0"/>
          <w:numId w:val="1002"/>
        </w:numPr>
        <w:pStyle w:val="Compact"/>
      </w:pPr>
      <w:r>
        <w:rPr>
          <w:bCs/>
          <w:b/>
        </w:rPr>
        <w:t xml:space="preserve">Holistic Training:</w:t>
      </w:r>
      <w:r>
        <w:t xml:space="preserve"> </w:t>
      </w:r>
      <w:r>
        <w:t xml:space="preserve">Social work programs emphasize trauma-informed care specifically tailored to refugees and displaced persons.</w:t>
      </w:r>
    </w:p>
    <w:p>
      <w:pPr>
        <w:numPr>
          <w:ilvl w:val="0"/>
          <w:numId w:val="1002"/>
        </w:numPr>
        <w:pStyle w:val="Compact"/>
      </w:pPr>
      <w:r>
        <w:rPr>
          <w:bCs/>
          <w:b/>
        </w:rPr>
        <w:t xml:space="preserve">Policy Advocacy:</w:t>
      </w:r>
      <w:r>
        <w:t xml:space="preserve"> </w:t>
      </w:r>
      <w:r>
        <w:t xml:space="preserve">Practitioners must engage in systemic advocacy to address the root causes of housing instability, recognizing that clinical treatment is insufficient without stable living environments.</w:t>
      </w:r>
    </w:p>
    <w:p>
      <w:pPr>
        <w:pStyle w:val="FirstParagraph"/>
      </w:pPr>
      <w:r>
        <w:t xml:space="preserve">The data unequivocally demonstrates that effective social work requires more than empathy; it demands rigorous application of scientific and legal frameworks within the specific, high-pressure environment of urban Canada. The</w:t>
      </w:r>
      <w:r>
        <w:t xml:space="preserve"> </w:t>
      </w:r>
      <w:r>
        <w:rPr>
          <w:bCs/>
          <w:b/>
        </w:rPr>
        <w:t xml:space="preserve">Social Worker</w:t>
      </w:r>
      <w:r>
        <w:t xml:space="preserve"> </w:t>
      </w:r>
      <w:r>
        <w:t xml:space="preserve">remains an indispensable asset in the public health infrastructure of Toronto.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 Practice in Canada, Toronto</dc:title>
  <dc:creator/>
  <dc:language>en</dc:language>
  <cp:keywords/>
  <dcterms:created xsi:type="dcterms:W3CDTF">2026-07-29T06:51:20Z</dcterms:created>
  <dcterms:modified xsi:type="dcterms:W3CDTF">2026-07-29T06:51:20Z</dcterms:modified>
</cp:coreProperties>
</file>

<file path=docProps/custom.xml><?xml version="1.0" encoding="utf-8"?>
<Properties xmlns="http://schemas.openxmlformats.org/officeDocument/2006/custom-properties" xmlns:vt="http://schemas.openxmlformats.org/officeDocument/2006/docPropsVTypes"/>
</file>