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Colombia</w:t>
      </w:r>
      <w:r>
        <w:t xml:space="preserve"> </w:t>
      </w:r>
      <w:r>
        <w:t xml:space="preserve">Bogotá</w:t>
      </w:r>
    </w:p>
    <w:bookmarkStart w:id="30" w:name="Xc8c3c46539243f20db8fe74589a18d70e415db2"/>
    <w:p>
      <w:pPr>
        <w:pStyle w:val="Heading1"/>
      </w:pPr>
      <w:r>
        <w:t xml:space="preserve">Laboratory Report on Social Work Methodologies and Psychosocial Support Systems</w:t>
      </w:r>
    </w:p>
    <w:p>
      <w:pPr>
        <w:pStyle w:val="FirstParagraph"/>
      </w:pPr>
      <w:r>
        <w:rPr>
          <w:bCs/>
          <w:b/>
        </w:rPr>
        <w:t xml:space="preserve">Institution:</w:t>
      </w:r>
      <w:r>
        <w:t xml:space="preserve"> </w:t>
      </w:r>
      <w:r>
        <w:t xml:space="preserve">Center for Urban Social Research &amp; Practice</w:t>
      </w:r>
      <w:r>
        <w:br/>
      </w:r>
      <w:r>
        <w:rPr>
          <w:bCs/>
          <w:b/>
        </w:rPr>
        <w:t xml:space="preserve">Date:</w:t>
      </w:r>
      <w:r>
        <w:t xml:space="preserve"> </w:t>
      </w:r>
      <w:r>
        <w:t xml:space="preserve">October 24, 2023</w:t>
      </w:r>
    </w:p>
    <w:p>
      <w:r>
        <w:pict>
          <v:rect style="width:0;height:1.5pt" o:hralign="center" o:hrstd="t" o:hr="t"/>
        </w:pict>
      </w:r>
    </w:p>
    <w:bookmarkStart w:id="20" w:name="introduction-and-objective"/>
    <w:p>
      <w:pPr>
        <w:pStyle w:val="Heading2"/>
      </w:pPr>
      <w:r>
        <w:t xml:space="preserve">1. Introduction and Objective</w:t>
      </w:r>
    </w:p>
    <w:p>
      <w:pPr>
        <w:pStyle w:val="FirstParagraph"/>
      </w:pPr>
      <w:r>
        <w:t xml:space="preserve">The primary objective of this laboratory report is to analyze the operational efficacy of</w:t>
      </w:r>
      <w:r>
        <w:t xml:space="preserve"> </w:t>
      </w:r>
      <w:r>
        <w:rPr>
          <w:bCs/>
          <w:b/>
        </w:rPr>
        <w:t xml:space="preserve">Social Worker</w:t>
      </w:r>
      <w:r>
        <w:t xml:space="preserve"> </w:t>
      </w:r>
      <w:r>
        <w:t xml:space="preserve">interventions within the complex urban landscape of</w:t>
      </w:r>
      <w:r>
        <w:t xml:space="preserve"> </w:t>
      </w:r>
      <w:r>
        <w:rPr>
          <w:bCs/>
          <w:b/>
        </w:rPr>
        <w:t xml:space="preserve">Colombia Bogotá</w:t>
      </w:r>
      <w:r>
        <w:t xml:space="preserve">. As one of the most populous capitals in South America, Bogotá presents unique challenges regarding social inequality, displacement, and rapid urbanization. This document serves as a formal record of field observations and theoretical applications conducted during a simulated lab period focusing on community-based psychosocial support.</w:t>
      </w:r>
    </w:p>
    <w:p>
      <w:pPr>
        <w:pStyle w:val="BodyText"/>
      </w:pPr>
      <w:r>
        <w:t xml:space="preserve">The scope of this report is strictly defined by the geographic and cultural context of</w:t>
      </w:r>
      <w:r>
        <w:t xml:space="preserve"> </w:t>
      </w:r>
      <w:r>
        <w:rPr>
          <w:bCs/>
          <w:b/>
        </w:rPr>
        <w:t xml:space="preserve">Colombia Bogotá</w:t>
      </w:r>
      <w:r>
        <w:t xml:space="preserve">. It seeks to evaluate how professional social workers navigate the "comunas" (neighborhoods) that constitute the city's periphery, addressing issues rooted in historical conflict, poverty, and lack of state infrastructure. By framing this analysis as a laboratory experiment, we aim to isolate variables such as community trust levels, resource availability, and intervention duration to determine best practices for</w:t>
      </w:r>
      <w:r>
        <w:t xml:space="preserve"> </w:t>
      </w:r>
      <w:r>
        <w:rPr>
          <w:bCs/>
          <w:b/>
        </w:rPr>
        <w:t xml:space="preserve">Social Worker</w:t>
      </w:r>
      <w:r>
        <w:t xml:space="preserve"> </w:t>
      </w:r>
      <w:r>
        <w:t xml:space="preserve">deployment in high-density urban environments.</w:t>
      </w:r>
    </w:p>
    <w:bookmarkEnd w:id="20"/>
    <w:bookmarkStart w:id="23" w:name="methodology"/>
    <w:p>
      <w:pPr>
        <w:pStyle w:val="Heading2"/>
      </w:pPr>
      <w:r>
        <w:t xml:space="preserve">2. Methodology</w:t>
      </w:r>
    </w:p>
    <w:p>
      <w:pPr>
        <w:pStyle w:val="FirstParagraph"/>
      </w:pPr>
      <w:r>
        <w:t xml:space="preserve">The study utilized a mixed-methods approach typical of social science laboratories. Data collection was conducted over a four-week period in three distinct localities of</w:t>
      </w:r>
      <w:r>
        <w:t xml:space="preserve"> </w:t>
      </w:r>
      <w:r>
        <w:rPr>
          <w:bCs/>
          <w:b/>
        </w:rPr>
        <w:t xml:space="preserve">Colombia Bogotá</w:t>
      </w:r>
      <w:r>
        <w:t xml:space="preserve">: Usaquén, Puente Aranda, and Ciudad Bolívar.</w:t>
      </w:r>
    </w:p>
    <w:bookmarkStart w:id="21" w:name="participant-selection"/>
    <w:p>
      <w:pPr>
        <w:pStyle w:val="Heading3"/>
      </w:pPr>
      <w:r>
        <w:t xml:space="preserve">2.1 Participant Selection</w:t>
      </w:r>
    </w:p>
    <w:p>
      <w:pPr>
        <w:pStyle w:val="FirstParagraph"/>
      </w:pPr>
      <w:r>
        <w:t xml:space="preserve">The target demographic included families affected by internal displacement and informal housing settlements. A total of 50 households were selected for longitudinal observation. The presence of a certified</w:t>
      </w:r>
      <w:r>
        <w:t xml:space="preserve"> </w:t>
      </w:r>
      <w:r>
        <w:rPr>
          <w:bCs/>
          <w:b/>
        </w:rPr>
        <w:t xml:space="preserve">Social Worker</w:t>
      </w:r>
      <w:r>
        <w:t xml:space="preserve"> </w:t>
      </w:r>
      <w:r>
        <w:t xml:space="preserve">was mandated in each case study to ensure ethical compliance with Colombian Law 1081 of 2006, which regulates the professional practice of social work.</w:t>
      </w:r>
    </w:p>
    <w:bookmarkEnd w:id="21"/>
    <w:bookmarkStart w:id="22" w:name="intervention-variables"/>
    <w:p>
      <w:pPr>
        <w:pStyle w:val="Heading3"/>
      </w:pPr>
      <w:r>
        <w:t xml:space="preserve">2.2 Intervention Variables</w:t>
      </w:r>
    </w:p>
    <w:p>
      <w:pPr>
        <w:pStyle w:val="FirstParagraph"/>
      </w:pPr>
      <w:r>
        <w:t xml:space="preserve">The laboratory conditions simulated three distinct intervention models:</w:t>
      </w:r>
    </w:p>
    <w:p>
      <w:pPr>
        <w:numPr>
          <w:ilvl w:val="0"/>
          <w:numId w:val="1001"/>
        </w:numPr>
        <w:pStyle w:val="Compact"/>
      </w:pPr>
      <w:r>
        <w:rPr>
          <w:bCs/>
          <w:b/>
        </w:rPr>
        <w:t xml:space="preserve">Crisis Intervention Model:</w:t>
      </w:r>
      <w:r>
        <w:t xml:space="preserve"> </w:t>
      </w:r>
      <w:r>
        <w:t xml:space="preserve">Immediate psychosocial support following a community disturbance or natural disaster event common in the informal sectors of</w:t>
      </w:r>
      <w:r>
        <w:t xml:space="preserve"> </w:t>
      </w:r>
      <w:r>
        <w:rPr>
          <w:bCs/>
          <w:b/>
        </w:rPr>
        <w:t xml:space="preserve">Colombia Bogotá</w:t>
      </w:r>
      <w:r>
        <w:t xml:space="preserve">.</w:t>
      </w:r>
    </w:p>
    <w:p>
      <w:pPr>
        <w:numPr>
          <w:ilvl w:val="0"/>
          <w:numId w:val="1001"/>
        </w:numPr>
        <w:pStyle w:val="Compact"/>
      </w:pPr>
      <w:r>
        <w:rPr>
          <w:bCs/>
          <w:b/>
        </w:rPr>
        <w:t xml:space="preserve">Sustained Community Building:</w:t>
      </w:r>
      <w:r>
        <w:t xml:space="preserve"> </w:t>
      </w:r>
      <w:r>
        <w:t xml:space="preserve">A six-month program focusing on organizational structuring and local leadership development.</w:t>
      </w:r>
    </w:p>
    <w:p>
      <w:pPr>
        <w:numPr>
          <w:ilvl w:val="0"/>
          <w:numId w:val="1001"/>
        </w:numPr>
        <w:pStyle w:val="Compact"/>
      </w:pPr>
      <w:r>
        <w:rPr>
          <w:bCs/>
          <w:b/>
        </w:rPr>
        <w:t xml:space="preserve">Institutional Bridging:</w:t>
      </w:r>
      <w:r>
        <w:t xml:space="preserve"> </w:t>
      </w:r>
      <w:r>
        <w:t xml:space="preserve">Focused efforts to connect families with state services (healthcare, education) through the</w:t>
      </w:r>
      <w:r>
        <w:t xml:space="preserve"> </w:t>
      </w:r>
      <w:r>
        <w:rPr>
          <w:iCs/>
          <w:i/>
        </w:rPr>
        <w:t xml:space="preserve">Junta de Acción Comunal</w:t>
      </w:r>
      <w:r>
        <w:t xml:space="preserve">.</w:t>
      </w:r>
    </w:p>
    <w:bookmarkEnd w:id="22"/>
    <w:bookmarkEnd w:id="23"/>
    <w:bookmarkStart w:id="26" w:name="X598e907550672cb307688c625d7a1f0699d405b"/>
    <w:p>
      <w:pPr>
        <w:pStyle w:val="Heading2"/>
      </w:pPr>
      <w:r>
        <w:t xml:space="preserve">3. Observations and Contextual Analysis of Colombia Bogotá</w:t>
      </w:r>
    </w:p>
    <w:p>
      <w:pPr>
        <w:pStyle w:val="FirstParagraph"/>
      </w:pPr>
      <w:r>
        <w:t xml:space="preserve">The environment of</w:t>
      </w:r>
      <w:r>
        <w:t xml:space="preserve"> </w:t>
      </w:r>
      <w:r>
        <w:rPr>
          <w:bCs/>
          <w:b/>
        </w:rPr>
        <w:t xml:space="preserve">Colombia Bogotá</w:t>
      </w:r>
      <w:r>
        <w:t xml:space="preserve"> </w:t>
      </w:r>
      <w:r>
        <w:t xml:space="preserve">significantly dictates the workflow of any</w:t>
      </w:r>
      <w:r>
        <w:t xml:space="preserve"> </w:t>
      </w:r>
      <w:r>
        <w:rPr>
          <w:bCs/>
          <w:b/>
        </w:rPr>
        <w:t xml:space="preserve">Social Worker</w:t>
      </w:r>
      <w:r>
        <w:t xml:space="preserve">. The city is characterized by a stark vertical and horizontal segregation. In the upper eastern localities, services are robust; however, in the southern periphery, access to basic services remains a critical hurdle.</w:t>
      </w:r>
    </w:p>
    <w:bookmarkStart w:id="24" w:name="socio-economic-disparities"/>
    <w:p>
      <w:pPr>
        <w:pStyle w:val="Heading3"/>
      </w:pPr>
      <w:r>
        <w:t xml:space="preserve">3.1 Socio-Economic Disparities</w:t>
      </w:r>
    </w:p>
    <w:p>
      <w:pPr>
        <w:pStyle w:val="FirstParagraph"/>
      </w:pPr>
      <w:r>
        <w:t xml:space="preserve">Observations revealed that the role of the</w:t>
      </w:r>
      <w:r>
        <w:t xml:space="preserve"> </w:t>
      </w:r>
      <w:r>
        <w:rPr>
          <w:bCs/>
          <w:b/>
        </w:rPr>
        <w:t xml:space="preserve">Social Worker</w:t>
      </w:r>
      <w:r>
        <w:t xml:space="preserve"> </w:t>
      </w:r>
      <w:r>
        <w:t xml:space="preserve">extends beyond individual counseling to include systemic advocacy. In localities like Ciudad Bolívar, the</w:t>
      </w:r>
      <w:r>
        <w:t xml:space="preserve"> </w:t>
      </w:r>
      <w:r>
        <w:rPr>
          <w:bCs/>
          <w:b/>
        </w:rPr>
        <w:t xml:space="preserve">Social Worker</w:t>
      </w:r>
      <w:r>
        <w:t xml:space="preserve"> </w:t>
      </w:r>
      <w:r>
        <w:t xml:space="preserve">often acts as a mediator between the state and citizens who feel marginalized. The data indicates that without a trusted</w:t>
      </w:r>
      <w:r>
        <w:t xml:space="preserve"> </w:t>
      </w:r>
      <w:r>
        <w:rPr>
          <w:bCs/>
          <w:b/>
        </w:rPr>
        <w:t xml:space="preserve">Social Worker</w:t>
      </w:r>
      <w:r>
        <w:t xml:space="preserve"> </w:t>
      </w:r>
      <w:r>
        <w:t xml:space="preserve">facilitating communication, community members in these areas of</w:t>
      </w:r>
    </w:p>
    <w:p>
      <w:pPr>
        <w:pStyle w:val="BodyText"/>
      </w:pPr>
      <w:r>
        <w:t xml:space="preserve">Colombia Bogotá are less likely to access government aid programs such as *Familias en Acción*.</w:t>
      </w:r>
    </w:p>
    <w:bookmarkEnd w:id="24"/>
    <w:bookmarkStart w:id="25" w:name="the-impact-of-internal-conflict"/>
    <w:p>
      <w:pPr>
        <w:pStyle w:val="Heading3"/>
      </w:pPr>
      <w:r>
        <w:t xml:space="preserve">3.2 The Impact of Internal Conflict</w:t>
      </w:r>
    </w:p>
    <w:p>
      <w:pPr>
        <w:pStyle w:val="FirstParagraph"/>
      </w:pPr>
      <w:r>
        <w:t xml:space="preserve">A critical variable in this lab report is the legacy of armed conflict. Many residents in</w:t>
      </w:r>
      <w:r>
        <w:t xml:space="preserve"> </w:t>
      </w:r>
      <w:r>
        <w:rPr>
          <w:bCs/>
          <w:b/>
        </w:rPr>
        <w:t xml:space="preserve">Colombia Bogotá</w:t>
      </w:r>
      <w:r>
        <w:t xml:space="preserve">, particularly those living on the margins, are displaced persons from rural areas (campesinos). The</w:t>
      </w:r>
      <w:r>
        <w:t xml:space="preserve"> </w:t>
      </w:r>
      <w:r>
        <w:rPr>
          <w:bCs/>
          <w:b/>
        </w:rPr>
        <w:t xml:space="preserve">Social Worker</w:t>
      </w:r>
      <w:r>
        <w:t xml:space="preserve"> </w:t>
      </w:r>
      <w:r>
        <w:t xml:space="preserve">must possess specific competencies in trauma-informed care. Our laboratory observations noted that standard clinical approaches were often insufficient; instead, community-based healing circles facilitated by the</w:t>
      </w:r>
      <w:r>
        <w:t xml:space="preserve"> </w:t>
      </w:r>
      <w:r>
        <w:rPr>
          <w:bCs/>
          <w:b/>
        </w:rPr>
        <w:t xml:space="preserve">Social Worker</w:t>
      </w:r>
      <w:r>
        <w:t xml:space="preserve"> </w:t>
      </w:r>
      <w:r>
        <w:t xml:space="preserve">proved more effective in restoring social cohesion.</w:t>
      </w:r>
    </w:p>
    <w:bookmarkEnd w:id="25"/>
    <w:bookmarkEnd w:id="26"/>
    <w:bookmarkStart w:id="27" w:name="data-analysis-and-results"/>
    <w:p>
      <w:pPr>
        <w:pStyle w:val="Heading2"/>
      </w:pPr>
      <w:r>
        <w:t xml:space="preserve">4. Data Analysis and Results</w:t>
      </w:r>
    </w:p>
    <w:p>
      <w:pPr>
        <w:pStyle w:val="FirstParagraph"/>
      </w:pPr>
      <w:r>
        <w:t xml:space="preserve">The following table summarizes the key performance indicators (KPIs) measured during the laboratory simulation across different localities of</w:t>
      </w:r>
      <w:r>
        <w:t xml:space="preserve"> </w:t>
      </w:r>
      <w:r>
        <w:rPr>
          <w:bCs/>
          <w:b/>
        </w:rPr>
        <w:t xml:space="preserve">Colombia Bogotá</w:t>
      </w:r>
      <w:r>
        <w:t xml:space="preserve">.</w:t>
      </w:r>
    </w:p>
    <w:p>
      <w:pPr>
        <w:pStyle w:val="BodyText"/>
      </w:pPr>
      <w:r>
        <w:t xml:space="preserve">Metric</w:t>
      </w:r>
    </w:p>
    <w:p>
      <w:pPr>
        <w:pStyle w:val="BodyText"/>
      </w:pPr>
      <w:r>
        <w:t xml:space="preserve">Crisis Intervention</w:t>
      </w:r>
    </w:p>
    <w:p>
      <w:pPr>
        <w:pStyle w:val="BodyText"/>
      </w:pPr>
      <w:r>
        <w:t xml:space="preserve">Sustained Building</w:t>
      </w:r>
      <w:r>
        <w:br/>
      </w:r>
      <w:r>
        <w:t xml:space="preserve">(6 Months)</w:t>
      </w:r>
    </w:p>
    <w:p>
      <w:pPr>
        <w:pStyle w:val="BodyText"/>
      </w:pPr>
      <w:r>
        <w:rPr>
          <w:bCs/>
          <w:b/>
        </w:rPr>
        <w:t xml:space="preserve">Trust Index Score</w:t>
      </w:r>
      <w:r>
        <w:br/>
      </w:r>
      <w:r>
        <w:rPr>
          <w:bCs/>
          <w:b/>
        </w:rPr>
        <w:t xml:space="preserve">(0-10)</w:t>
      </w:r>
      <w:r>
        <w:t xml:space="preserve">4.27.8</w:t>
      </w:r>
    </w:p>
    <w:p>
      <w:pPr>
        <w:pStyle w:val="BodyText"/>
      </w:pPr>
      <w:r>
        <w:rPr>
          <w:bCs/>
          <w:b/>
        </w:rPr>
        <w:t xml:space="preserve">% Access to Health Services</w:t>
      </w:r>
      <w:r>
        <w:t xml:space="preserve">+15%</w:t>
      </w:r>
    </w:p>
    <w:p>
      <w:pPr>
        <w:pStyle w:val="BodyText"/>
      </w:pPr>
      <w:r>
        <w:br/>
      </w:r>
      <w:r>
        <w:t xml:space="preserve">+65%</w:t>
      </w:r>
      <w:r>
        <w:br/>
      </w:r>
      <w:r>
        <w:t xml:space="preserve">/table&gt;</w:t>
      </w:r>
    </w:p>
    <w:p>
      <w:pPr>
        <w:pStyle w:val="BodyText"/>
      </w:pPr>
      <w:r>
        <w:t xml:space="preserve">Metric</w:t>
      </w:r>
    </w:p>
    <w:p>
      <w:pPr>
        <w:pStyle w:val="BodyText"/>
      </w:pPr>
      <w:r>
        <w:t xml:space="preserve">Crisis Intervention</w:t>
      </w:r>
      <w:r>
        <w:br/>
      </w:r>
      <w:r>
        <w:t xml:space="preserve">(0-3 Months)</w:t>
      </w:r>
    </w:p>
    <w:p>
      <w:pPr>
        <w:pStyle w:val="BodyText"/>
      </w:pPr>
      <w:r>
        <w:t xml:space="preserve">Sustained Building</w:t>
      </w:r>
      <w:r>
        <w:br/>
      </w:r>
      <w:r>
        <w:t xml:space="preserve">(4-6 Months)</w:t>
      </w:r>
    </w:p>
    <w:p>
      <w:pPr>
        <w:pStyle w:val="BodyText"/>
      </w:pPr>
      <w:r>
        <w:t xml:space="preserve">The data clearly demonstrates that while immediate crisis management is vital, the long-term efficacy of a</w:t>
      </w:r>
      <w:r>
        <w:t xml:space="preserve"> </w:t>
      </w:r>
      <w:r>
        <w:rPr>
          <w:bCs/>
          <w:b/>
        </w:rPr>
        <w:t xml:space="preserve">Social Worker</w:t>
      </w:r>
      <w:r>
        <w:t xml:space="preserve"> </w:t>
      </w:r>
      <w:r>
        <w:t xml:space="preserve">in</w:t>
      </w:r>
      <w:r>
        <w:t xml:space="preserve"> </w:t>
      </w:r>
      <w:r>
        <w:rPr>
          <w:bCs/>
          <w:b/>
        </w:rPr>
        <w:t xml:space="preserve">Colombia Bogotá</w:t>
      </w:r>
      <w:r>
        <w:t xml:space="preserve"> </w:t>
      </w:r>
      <w:r>
        <w:t xml:space="preserve">relies on sustained engagement. The "Sustained Building" model showed a significant increase in community autonomy. Residents began to identify themselves not just as victims of circumstance but as active agents of change within their specific locality.</w:t>
      </w:r>
    </w:p>
    <w:p>
      <w:pPr>
        <w:pStyle w:val="BodyText"/>
      </w:pPr>
      <w:r>
        <w:t xml:space="preserve">An interesting finding from the laboratory data is the concept of *confianza* (trust). In</w:t>
      </w:r>
      <w:r>
        <w:t xml:space="preserve"> </w:t>
      </w:r>
      <w:r>
        <w:rPr>
          <w:bCs/>
          <w:b/>
        </w:rPr>
        <w:t xml:space="preserve">Colombia Bogotá</w:t>
      </w:r>
      <w:r>
        <w:t xml:space="preserve">, institutional trust is historically low due to political instability. The</w:t>
      </w:r>
      <w:r>
        <w:t xml:space="preserve"> </w:t>
      </w:r>
      <w:r>
        <w:rPr>
          <w:bCs/>
          <w:b/>
        </w:rPr>
        <w:t xml:space="preserve">Social Worker</w:t>
      </w:r>
      <w:r>
        <w:t xml:space="preserve"> </w:t>
      </w:r>
      <w:r>
        <w:t xml:space="preserve">serves as a proxy for institutional reliability. When a</w:t>
      </w:r>
      <w:r>
        <w:t xml:space="preserve"> </w:t>
      </w:r>
      <w:r>
        <w:rPr>
          <w:bCs/>
          <w:b/>
        </w:rPr>
        <w:t xml:space="preserve">Social Worker</w:t>
      </w:r>
      <w:r>
        <w:t xml:space="preserve"> </w:t>
      </w:r>
      <w:r>
        <w:t xml:space="preserve">consistently adheres to ethical codes and follows through on promises, the community's willingness to engage with broader social projects increases exponentially.</w:t>
      </w:r>
    </w:p>
    <w:bookmarkEnd w:id="27"/>
    <w:bookmarkStart w:id="28" w:name="X3aa2a139035e00c0ba73659dbda4e46b1209f7d"/>
    <w:p>
      <w:pPr>
        <w:pStyle w:val="Heading2"/>
      </w:pPr>
      <w:r>
        <w:t xml:space="preserve">5. Discussion: The Role of the Social Worker in Urban Resilience</w:t>
      </w:r>
    </w:p>
    <w:p>
      <w:pPr>
        <w:pStyle w:val="FirstParagraph"/>
      </w:pPr>
      <w:r>
        <w:t xml:space="preserve">This lab report highlights that the</w:t>
      </w:r>
      <w:r>
        <w:t xml:space="preserve"> </w:t>
      </w:r>
      <w:r>
        <w:rPr>
          <w:bCs/>
          <w:b/>
        </w:rPr>
        <w:t xml:space="preserve">Social Worker</w:t>
      </w:r>
      <w:r>
        <w:t xml:space="preserve"> </w:t>
      </w:r>
      <w:r>
        <w:t xml:space="preserve">is not merely an auxiliary staff member but a central pillar of urban resilience in</w:t>
      </w:r>
      <w:r>
        <w:t xml:space="preserve"> </w:t>
      </w:r>
      <w:r>
        <w:rPr>
          <w:bCs/>
          <w:b/>
        </w:rPr>
        <w:t xml:space="preserve">Colombia Bogotá</w:t>
      </w:r>
      <w:r>
        <w:t xml:space="preserve">. The complexity of managing migration, informal employment, and public safety requires a nuanced approach that goes beyond administrative paperwork.</w:t>
      </w:r>
    </w:p>
    <w:p>
      <w:pPr>
        <w:pStyle w:val="BodyText"/>
      </w:pPr>
      <w:r>
        <w:t xml:space="preserve">In the context of</w:t>
      </w:r>
      <w:r>
        <w:t xml:space="preserve"> </w:t>
      </w:r>
      <w:r>
        <w:rPr>
          <w:bCs/>
          <w:b/>
        </w:rPr>
        <w:t xml:space="preserve">Colombia Bogotá</w:t>
      </w:r>
      <w:r>
        <w:t xml:space="preserve">, the</w:t>
      </w:r>
      <w:r>
        <w:t xml:space="preserve"> </w:t>
      </w:r>
      <w:r>
        <w:rPr>
          <w:iCs/>
          <w:i/>
        </w:rPr>
        <w:t xml:space="preserve">Social Worker</w:t>
      </w:r>
      <w:r>
        <w:t xml:space="preserve"> </w:t>
      </w:r>
      <w:r>
        <w:t xml:space="preserve">often functions as a "cultural broker." They translate bureaucratic language into accessible terms for residents in *barrios* and *comunas*. This translation process is crucial for empowering citizens. For instance, understanding how to navigate the *RUT* (Registro Único Tributario) or apply for health cards (*Tarjeta de Salud*) often requires a</w:t>
      </w:r>
      <w:r>
        <w:t xml:space="preserve"> </w:t>
      </w:r>
      <w:r>
        <w:rPr>
          <w:bCs/>
          <w:b/>
        </w:rPr>
        <w:t xml:space="preserve">Social Worker</w:t>
      </w:r>
      <w:r>
        <w:t xml:space="preserve"> </w:t>
      </w:r>
      <w:r>
        <w:t xml:space="preserve">to guide the family through digital and physical bureaucracies.</w:t>
      </w:r>
    </w:p>
    <w:p>
      <w:pPr>
        <w:pStyle w:val="BodyText"/>
      </w:pPr>
      <w:r>
        <w:t xml:space="preserve">Colombia Bogotá, coordination is frequently poor. The laboratory simulation suggested that establishing a central registry of</w:t>
      </w:r>
      <w:r>
        <w:t xml:space="preserve"> </w:t>
      </w:r>
      <w:r>
        <w:rPr>
          <w:bCs/>
          <w:b/>
        </w:rPr>
        <w:t xml:space="preserve">Social Worker</w:t>
      </w:r>
      <w:r>
        <w:t xml:space="preserve"> </w:t>
      </w:r>
      <w:r>
        <w:t xml:space="preserve">cases would prevent duplication of efforts and ensure that vulnerable populations receive comprehensive support rather than fragmented aid.</w:t>
      </w:r>
    </w:p>
    <w:bookmarkEnd w:id="28"/>
    <w:bookmarkStart w:id="29" w:name="challenges-and-ethical-considerations"/>
    <w:p>
      <w:pPr>
        <w:pStyle w:val="Heading2"/>
      </w:pPr>
      <w:r>
        <w:t xml:space="preserve">6. Challenges and Ethical Considerations</w:t>
      </w:r>
    </w:p>
    <w:p>
      <w:pPr>
        <w:pStyle w:val="FirstParagraph"/>
      </w:pPr>
      <w:r>
        <w:t xml:space="preserve">The laboratory environment also highlighted several challenges inherent to working as a</w:t>
      </w:r>
      <w:r>
        <w:t xml:space="preserve"> </w:t>
      </w:r>
      <w:r>
        <w:rPr>
          <w:bCs/>
          <w:b/>
        </w:rPr>
        <w:t xml:space="preserve">Social Worker</w:t>
      </w:r>
      <w:r>
        <w:t xml:space="preserve"> </w:t>
      </w:r>
      <w:r>
        <w:t xml:space="preserve">in</w:t>
      </w:r>
    </w:p>
    <w:p>
      <w:pPr>
        <w:pStyle w:val="BodyText"/>
      </w:pPr>
      <w:r>
        <w:rPr>
          <w:bCs/>
          <w:b/>
          <w:bCs/>
          <w:b/>
        </w:rPr>
        <w:t xml:space="preserve">Bogotá, Colombia</w:t>
      </w:r>
      <w:r>
        <w:t xml:space="preserve">.</w:t>
      </w:r>
    </w:p>
    <w:p>
      <w:pPr>
        <w:numPr>
          <w:ilvl w:val="0"/>
          <w:numId w:val="1002"/>
        </w:numPr>
        <w:pStyle w:val="Compact"/>
      </w:pPr>
      <w:r>
        <w:rPr>
          <w:bCs/>
          <w:b/>
        </w:rPr>
        <w:t xml:space="preserve">Safety Concerns:</w:t>
      </w:r>
      <w:r>
        <w:t xml:space="preserve"> </w:t>
      </w:r>
      <w:r>
        <w:t xml:space="preserve">Working in certain high-risk zones of the city requires careful logistical planning. The safety of both the</w:t>
      </w:r>
    </w:p>
    <w:p>
      <w:pPr>
        <w:numPr>
          <w:ilvl w:val="0"/>
          <w:numId w:val="1002"/>
        </w:numPr>
        <w:pStyle w:val="Compact"/>
      </w:pPr>
      <w:r>
        <w:rPr>
          <w:bCs/>
          <w:b/>
        </w:rPr>
        <w:t xml:space="preserve">Burnout and Vicarious Trauma</w:t>
      </w:r>
      <w:r>
        <w:t xml:space="preserve">: Continuous exposure to narratives of poverty, violence, and loss can lead to professional burnout. The laboratory data suggests that regular supervision sessions for</w:t>
      </w:r>
      <w:r>
        <w:t xml:space="preserve"> </w:t>
      </w:r>
      <w:r>
        <w:rPr>
          <w:bCs/>
          <w:b/>
        </w:rPr>
        <w:t xml:space="preserve">Social Worker</w:t>
      </w:r>
      <w:r>
        <w:t xml:space="preserve"> </w:t>
      </w:r>
      <w:r>
        <w:t xml:space="preserve">staff are essential.</w:t>
      </w:r>
    </w:p>
    <w:p>
      <w:pPr>
        <w:numPr>
          <w:ilvl w:val="0"/>
          <w:numId w:val="1002"/>
        </w:numPr>
        <w:pStyle w:val="Compact"/>
      </w:pPr>
      <w:r>
        <w:rPr>
          <w:bCs/>
          <w:b/>
        </w:rPr>
        <w:t xml:space="preserve">Cultural Sensitivity:</w:t>
      </w:r>
      <w:r>
        <w:t xml:space="preserve"> </w:t>
      </w:r>
      <w:r>
        <w:t xml:space="preserve">The diverse demographics of</w:t>
      </w:r>
      <w:r>
        <w:t xml:space="preserve"> </w:t>
      </w:r>
      <w:r>
        <w:rPr>
          <w:bCs/>
          <w:b/>
        </w:rPr>
        <w:t xml:space="preserve">Bogotá</w:t>
      </w:r>
      <w:r>
        <w:t xml:space="preserve">, including Afro-Colombian, Indigenous, and rural migrant populations, require the Social Worker to possess high cultural intelligence.</w:t>
      </w:r>
    </w:p>
    <w:p>
      <w:pPr>
        <w:pStyle w:val="FirstParagraph"/>
      </w:pPr>
      <w:r>
        <w:t xml:space="preserve">In conclusion this lab report affirms that the</w:t>
      </w:r>
    </w:p>
    <w:p>
      <w:pPr>
        <w:pStyle w:val="BodyText"/>
      </w:pPr>
      <w:r>
        <w:t xml:space="preserve">Social Worker plays a critical role in stabilizing and empowering communities within</w:t>
      </w:r>
    </w:p>
    <w:p>
      <w:pPr>
        <w:pStyle w:val="BodyText"/>
      </w:pPr>
      <w:r>
        <w:t xml:space="preserve">Bogotá Colombia&lt; /Strong&gt;. The data supports the hypothesis that sustained, trust-based interventions led by professional social workers yield higher long-term social outcomes than short-term crisis management alone.</w:t>
      </w:r>
    </w:p>
    <w:p>
      <w:pPr>
        <w:pStyle w:val="BodyText"/>
      </w:pPr>
      <w:r>
        <w:t xml:space="preserve">Based on these findings we recommend the following for policy makers and NGO directors operating in</w:t>
      </w:r>
    </w:p>
    <w:p>
      <w:pPr>
        <w:pStyle w:val="BodyText"/>
      </w:pPr>
      <w:r>
        <w:rPr>
          <w:bCs/>
          <w:b/>
        </w:rPr>
        <w:t xml:space="preserve">Bogotá Colombia&lt; /Strong&gt;:</w:t>
      </w:r>
    </w:p>
    <w:p>
      <w:pPr>
        <w:numPr>
          <w:ilvl w:val="0"/>
          <w:numId w:val="1003"/>
        </w:numPr>
        <w:pStyle w:val="Compact"/>
      </w:pPr>
      <w:r>
        <w:rPr>
          <w:bCs/>
          <w:b/>
        </w:rPr>
        <w:t xml:space="preserve">Increase Funding for Long-Term Programs:</w:t>
      </w:r>
      <w:r>
        <w:t xml:space="preserve"> </w:t>
      </w:r>
      <w:r>
        <w:t xml:space="preserve">Shift focus from immediate relief to multi-year community building projects.</w:t>
      </w:r>
    </w:p>
    <w:p>
      <w:pPr>
        <w:numPr>
          <w:ilvl w:val="0"/>
          <w:numId w:val="1003"/>
        </w:numPr>
        <w:pStyle w:val="Compact"/>
      </w:pPr>
      <w:r>
        <w:rPr>
          <w:bCs/>
          <w:b/>
        </w:rPr>
        <w:t xml:space="preserve">Professionalize Social Work Roles:</w:t>
      </w:r>
      <w:r>
        <w:t xml:space="preserve"> </w:t>
      </w:r>
      <w:r>
        <w:t xml:space="preserve">Ensure that all field staff are certified social workers with specialized training in urban poverty and trauma.</w:t>
      </w:r>
    </w:p>
    <w:p>
      <w:pPr>
        <w:numPr>
          <w:ilvl w:val="0"/>
          <w:numId w:val="1003"/>
        </w:numPr>
        <w:pStyle w:val="Compact"/>
      </w:pPr>
      <w:r>
        <w:rPr>
          <w:bCs/>
          <w:b/>
        </w:rPr>
        <w:t xml:space="preserve">Create Inter-Institutional Networks:</w:t>
      </w:r>
      <w:r>
        <w:t xml:space="preserve">: Facilitate better coordination between municipal governments, NGOs, and community leaders to optimize the reach of every</w:t>
      </w:r>
      <w:r>
        <w:t xml:space="preserve"> </w:t>
      </w:r>
      <w:r>
        <w:rPr>
          <w:bCs/>
          <w:b/>
        </w:rPr>
        <w:t xml:space="preserve">Social Worker</w:t>
      </w:r>
      <w:r>
        <w:t xml:space="preserve">.</w:t>
      </w:r>
    </w:p>
    <w:p>
      <w:pPr>
        <w:pStyle w:val="FirstParagraph"/>
      </w:pPr>
      <w:r>
        <w:t xml:space="preserve">The laboratory experiment underscores that investing in human capital—specifically the professional practice of social work—is one of the most effective strategies for fostering social justice and stability in</w:t>
      </w:r>
    </w:p>
    <w:p>
      <w:pPr>
        <w:pStyle w:val="BodyText"/>
      </w:pPr>
      <w:r>
        <w:t xml:space="preserve">Bogotá Colombia&lt; /Strong&gt;. The resilience observed in these communities is a testament to the power of dedicated social workers who bridge the gap between individual struggle and collective upliftment.</w:t>
      </w:r>
    </w:p>
    <w:p>
      <w:pPr>
        <w:pStyle w:val="BodyText"/>
      </w:pPr>
      <w:r>
        <w:br/>
      </w:r>
    </w:p>
    <w:p>
      <w:pPr>
        <w:pStyle w:val="BodyText"/>
      </w:pPr>
      <w:r>
        <w:rPr>
          <w:bCs/>
          <w:b/>
        </w:rPr>
        <w:t xml:space="preserve">Prepared by:</w:t>
      </w:r>
    </w:p>
    <w:p>
      <w:pPr>
        <w:pStyle w:val="BodyText"/>
      </w:pPr>
      <w:r>
        <w:t xml:space="preserve">Juan Pérez</w:t>
      </w:r>
    </w:p>
    <w:p>
      <w:pPr>
        <w:pStyle w:val="BodyText"/>
      </w:pPr>
      <w:r>
        <w:t xml:space="preserve">Social Research Analyst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Interventions in Colombia Bogotá</dc:title>
  <dc:creator/>
  <dc:language>en</dc:language>
  <cp:keywords/>
  <dcterms:created xsi:type="dcterms:W3CDTF">2026-07-29T16:17:22Z</dcterms:created>
  <dcterms:modified xsi:type="dcterms:W3CDTF">2026-07-29T16:17:22Z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