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Social</w:t>
      </w:r>
      <w:r>
        <w:t xml:space="preserve"> </w:t>
      </w:r>
      <w:r>
        <w:t xml:space="preserve">Work</w:t>
      </w:r>
      <w:r>
        <w:t xml:space="preserve"> </w:t>
      </w:r>
      <w:r>
        <w:t xml:space="preserve">Practices</w:t>
      </w:r>
      <w:r>
        <w:t xml:space="preserve"> </w:t>
      </w:r>
      <w:r>
        <w:t xml:space="preserve">in</w:t>
      </w:r>
      <w:r>
        <w:t xml:space="preserve"> </w:t>
      </w:r>
      <w:r>
        <w:t xml:space="preserve">Germany,</w:t>
      </w:r>
      <w:r>
        <w:t xml:space="preserve"> </w:t>
      </w:r>
      <w:r>
        <w:t xml:space="preserve">Berlin</w:t>
      </w:r>
    </w:p>
    <w:bookmarkStart w:id="31" w:name="X3e4fbb8a3da30436e66e2ff018f4f2d5306b965"/>
    <w:p>
      <w:pPr>
        <w:pStyle w:val="Heading1"/>
      </w:pPr>
      <w:r>
        <w:t xml:space="preserve">Laboratory Report on Professional Social Work Methodologies and Structural Integration within the Context of Germany, Berlin</w:t>
      </w:r>
    </w:p>
    <w:p>
      <w:pPr>
        <w:pStyle w:val="FirstParagraph"/>
      </w:pPr>
      <w:r>
        <w:rPr>
          <w:bCs/>
          <w:b/>
        </w:rPr>
        <w:t xml:space="preserve">Date:</w:t>
      </w:r>
      <w:r>
        <w:t xml:space="preserve"> </w:t>
      </w:r>
      <w:r>
        <w:t xml:space="preserve">October 26, 2023</w:t>
      </w:r>
      <w:r>
        <w:br/>
      </w:r>
      <w:r>
        <w:rPr>
          <w:bCs/>
          <w:b/>
        </w:rPr>
        <w:t xml:space="preserve">Institutional Reference:</w:t>
      </w:r>
      <w:r>
        <w:t xml:space="preserve"> </w:t>
      </w:r>
      <w:r>
        <w:t xml:space="preserve">Comparative Social Services Analysis Unit</w:t>
      </w:r>
      <w:r>
        <w:br/>
      </w:r>
      <w:r>
        <w:rPr>
          <w:bCs/>
          <w:b/>
        </w:rPr>
        <w:t xml:space="preserve">Subject:</w:t>
      </w:r>
      <w:r>
        <w:t xml:space="preserve"> </w:t>
      </w:r>
      <w:r>
        <w:t xml:space="preserve">Evaluation of Social Worker competencies in high-density urban environments</w:t>
      </w:r>
    </w:p>
    <w:bookmarkStart w:id="20" w:name="abstract-and-executive-summary"/>
    <w:p>
      <w:pPr>
        <w:pStyle w:val="Heading2"/>
      </w:pPr>
      <w:r>
        <w:t xml:space="preserve">1. Abstract and Executive Summary</w:t>
      </w:r>
    </w:p>
    <w:p>
      <w:pPr>
        <w:pStyle w:val="FirstParagraph"/>
      </w:pPr>
      <w:r>
        <w:t xml:space="preserve">This document serves as a comprehensive Lab Report dedicated to the role, function, and operational framework of the</w:t>
      </w:r>
      <w:r>
        <w:t xml:space="preserve"> </w:t>
      </w:r>
      <w:r>
        <w:rPr>
          <w:bCs/>
          <w:b/>
        </w:rPr>
        <w:t xml:space="preserve">Social Worker</w:t>
      </w:r>
      <w:r>
        <w:t xml:space="preserve">. The primary objective of this inquiry is to analyze how social work practices are adapted to meet the specific demographic, legal, and cultural demands of</w:t>
      </w:r>
      <w:r>
        <w:t xml:space="preserve"> </w:t>
      </w:r>
      <w:r>
        <w:rPr>
          <w:bCs/>
          <w:b/>
        </w:rPr>
        <w:t xml:space="preserve">Germany Berlin</w:t>
      </w:r>
      <w:r>
        <w:t xml:space="preserve">. As one of Europe’s most dynamic metropolitan areas, Berlin presents a unique case study for social service delivery. This report examines the intersection of federal German law (SGB) with local municipal implementation in Berlin, highlighting the critical need for culturally competent interventions in a diverse urban setting.</w:t>
      </w:r>
    </w:p>
    <w:bookmarkEnd w:id="20"/>
    <w:bookmarkStart w:id="21" w:name="introduction-and-objectives"/>
    <w:p>
      <w:pPr>
        <w:pStyle w:val="Heading2"/>
      </w:pPr>
      <w:r>
        <w:t xml:space="preserve">2. Introduction and Objectives</w:t>
      </w:r>
    </w:p>
    <w:p>
      <w:pPr>
        <w:pStyle w:val="FirstParagraph"/>
      </w:pPr>
      <w:r>
        <w:t xml:space="preserve">The role of a</w:t>
      </w:r>
      <w:r>
        <w:t xml:space="preserve"> </w:t>
      </w:r>
      <w:r>
        <w:rPr>
          <w:bCs/>
          <w:b/>
        </w:rPr>
        <w:t xml:space="preserve">Social Worker</w:t>
      </w:r>
      <w:r>
        <w:t xml:space="preserve"> </w:t>
      </w:r>
      <w:r>
        <w:t xml:space="preserve">extends beyond mere assistance; it is a professional discipline rooted in evidence-based practice, ethical guidelines, and systemic advocacy. In the context of</w:t>
      </w:r>
      <w:r>
        <w:t xml:space="preserve"> </w:t>
      </w:r>
      <w:r>
        <w:rPr>
          <w:bCs/>
          <w:b/>
        </w:rPr>
        <w:t xml:space="preserve">Germany Berlin</w:t>
      </w:r>
      <w:r>
        <w:t xml:space="preserve">, the profession faces distinct challenges due to rapid urbanization, housing crises, and significant migration flows. The primary objectives of this report are:</w:t>
      </w:r>
    </w:p>
    <w:p>
      <w:pPr>
        <w:numPr>
          <w:ilvl w:val="0"/>
          <w:numId w:val="1001"/>
        </w:numPr>
        <w:pStyle w:val="Compact"/>
      </w:pPr>
      <w:r>
        <w:t xml:space="preserve">To define the core competencies required for a</w:t>
      </w:r>
      <w:r>
        <w:t xml:space="preserve"> </w:t>
      </w:r>
      <w:r>
        <w:rPr>
          <w:bCs/>
          <w:b/>
        </w:rPr>
        <w:t xml:space="preserve">Social Worker</w:t>
      </w:r>
      <w:r>
        <w:t xml:space="preserve"> </w:t>
      </w:r>
      <w:r>
        <w:t xml:space="preserve">operating in the German legal framework.</w:t>
      </w:r>
    </w:p>
    <w:p>
      <w:pPr>
        <w:numPr>
          <w:ilvl w:val="0"/>
          <w:numId w:val="1001"/>
        </w:numPr>
        <w:pStyle w:val="Compact"/>
      </w:pPr>
      <w:r>
        <w:t xml:space="preserve">To analyze the specific socio-economic drivers influencing social work needs in</w:t>
      </w:r>
      <w:r>
        <w:t xml:space="preserve"> </w:t>
      </w:r>
      <w:r>
        <w:rPr>
          <w:bCs/>
          <w:b/>
        </w:rPr>
        <w:t xml:space="preserve">Germany Berlin</w:t>
      </w:r>
      <w:r>
        <w:t xml:space="preserve">.</w:t>
      </w:r>
    </w:p>
    <w:p>
      <w:pPr>
        <w:numPr>
          <w:ilvl w:val="0"/>
          <w:numId w:val="1001"/>
        </w:numPr>
        <w:pStyle w:val="Compact"/>
      </w:pPr>
      <w:r>
        <w:t xml:space="preserve">To evaluate current intervention strategies used by social workers in Berlin’s district offices (Bezirksämter).</w:t>
      </w:r>
    </w:p>
    <w:bookmarkEnd w:id="21"/>
    <w:bookmarkStart w:id="22" w:name="X90cb576fb0326b370c9cef1b11561d99c494cdb"/>
    <w:p>
      <w:pPr>
        <w:pStyle w:val="Heading2"/>
      </w:pPr>
      <w:r>
        <w:t xml:space="preserve">3. Theoretical Framework: The German Social Code (SGB)</w:t>
      </w:r>
    </w:p>
    <w:p>
      <w:pPr>
        <w:pStyle w:val="FirstParagraph"/>
      </w:pPr>
      <w:r>
        <w:t xml:space="preserve">The practice of any</w:t>
      </w:r>
      <w:r>
        <w:t xml:space="preserve"> </w:t>
      </w:r>
      <w:r>
        <w:rPr>
          <w:bCs/>
          <w:b/>
        </w:rPr>
        <w:t xml:space="preserve">Social Worker</w:t>
      </w:r>
      <w:r>
        <w:t xml:space="preserve"> </w:t>
      </w:r>
      <w:r>
        <w:t xml:space="preserve">in Germany is fundamentally governed by the Sozialgesetzbuch (Social Code), particularly SGB II, SGB VIII, and SGB XII. Unlike some other nations where social work may be more loosely regulated, in Germany, the scope of practice for a</w:t>
      </w:r>
      <w:r>
        <w:t xml:space="preserve"> </w:t>
      </w:r>
      <w:r>
        <w:rPr>
          <w:bCs/>
          <w:b/>
        </w:rPr>
        <w:t xml:space="preserve">Social Worker</w:t>
      </w:r>
      <w:r>
        <w:t xml:space="preserve"> </w:t>
      </w:r>
      <w:r>
        <w:t xml:space="preserve">is strictly defined by these legal statutes.</w:t>
      </w:r>
    </w:p>
    <w:p>
      <w:pPr>
        <w:pStyle w:val="BodyText"/>
      </w:pPr>
      <w:r>
        <w:t xml:space="preserve">In</w:t>
      </w:r>
      <w:r>
        <w:t xml:space="preserve"> </w:t>
      </w:r>
      <w:r>
        <w:rPr>
          <w:bCs/>
          <w:b/>
        </w:rPr>
        <w:t xml:space="preserve">Germany Berlin</w:t>
      </w:r>
      <w:r>
        <w:t xml:space="preserve">, this translates to a bureaucratic yet supportive environment. Social workers must navigate complex eligibility criteria for welfare benefits (Bürgergeld), youth services (Kinder- und Jugendhilfe), and elder care. The "Lab Report" nature of this analysis suggests a quasi-experimental look at how these theoretical frameworks play out in real-world scenarios within Berlin’s districts such as Neukölln, Friedrichshain-Kreuzberg, and Marzahn-Hellersdorf.</w:t>
      </w:r>
    </w:p>
    <w:bookmarkEnd w:id="22"/>
    <w:bookmarkStart w:id="23" w:name="methodology-urban-case-study-analysis"/>
    <w:p>
      <w:pPr>
        <w:pStyle w:val="Heading2"/>
      </w:pPr>
      <w:r>
        <w:t xml:space="preserve">4. Methodology: Urban Case Study Analysis</w:t>
      </w:r>
    </w:p>
    <w:p>
      <w:pPr>
        <w:pStyle w:val="FirstParagraph"/>
      </w:pPr>
      <w:r>
        <w:t xml:space="preserve">This report utilizes a qualitative case study methodology focused on the</w:t>
      </w:r>
      <w:r>
        <w:t xml:space="preserve"> </w:t>
      </w:r>
      <w:r>
        <w:rPr>
          <w:bCs/>
          <w:b/>
        </w:rPr>
        <w:t xml:space="preserve">Social Worker</w:t>
      </w:r>
      <w:r>
        <w:t xml:space="preserve">'s daily operational reality in</w:t>
      </w:r>
      <w:r>
        <w:t xml:space="preserve"> </w:t>
      </w:r>
      <w:r>
        <w:rPr>
          <w:bCs/>
          <w:b/>
        </w:rPr>
        <w:t xml:space="preserve">Germany Berlin</w:t>
      </w:r>
      <w:r>
        <w:t xml:space="preserve">. Data is synthesized from municipal reports, professional association guidelines (such as the Deutscher Verein für öffentliche und private Fürsorge), and observational data regarding client interactions.</w:t>
      </w:r>
    </w:p>
    <w:p>
      <w:pPr>
        <w:pStyle w:val="BodyText"/>
      </w:pPr>
      <w:r>
        <w:t xml:space="preserve">The study focuses on three key areas:</w:t>
      </w:r>
    </w:p>
    <w:p>
      <w:pPr>
        <w:numPr>
          <w:ilvl w:val="0"/>
          <w:numId w:val="1002"/>
        </w:numPr>
        <w:pStyle w:val="Compact"/>
      </w:pPr>
      <w:r>
        <w:rPr>
          <w:bCs/>
          <w:b/>
        </w:rPr>
        <w:t xml:space="preserve">Housing Stability:</w:t>
      </w:r>
      <w:r>
        <w:t xml:space="preserve"> </w:t>
      </w:r>
      <w:r>
        <w:t xml:space="preserve">The impact of Berlin's rental market on vulnerable populations.</w:t>
      </w:r>
    </w:p>
    <w:p>
      <w:pPr>
        <w:numPr>
          <w:ilvl w:val="0"/>
          <w:numId w:val="1002"/>
        </w:numPr>
        <w:pStyle w:val="Compact"/>
      </w:pPr>
      <w:r>
        <w:rPr>
          <w:bCs/>
          <w:b/>
        </w:rPr>
        <w:t xml:space="preserve">Migration Integration:</w:t>
      </w:r>
      <w:r>
        <w:t xml:space="preserve"> </w:t>
      </w:r>
      <w:r>
        <w:t xml:space="preserve">The role of the Social Worker in facilitating access to language courses, recognition of foreign qualifications, and mental health support for refugees and migrants.</w:t>
      </w:r>
    </w:p>
    <w:p>
      <w:pPr>
        <w:numPr>
          <w:ilvl w:val="0"/>
          <w:numId w:val="1002"/>
        </w:numPr>
        <w:pStyle w:val="Compact"/>
      </w:pPr>
      <w:r>
        <w:rPr>
          <w:bCs/>
          <w:b/>
        </w:rPr>
        <w:t xml:space="preserve">Youth Services:</w:t>
      </w:r>
      <w:r>
        <w:t xml:space="preserve"> </w:t>
      </w:r>
      <w:r>
        <w:t xml:space="preserve">Interventions for at-risk youth in multi-ethnic neighborhoods.</w:t>
      </w:r>
    </w:p>
    <w:bookmarkEnd w:id="23"/>
    <w:bookmarkStart w:id="27" w:name="findings-the-social-worker-in-berlin"/>
    <w:p>
      <w:pPr>
        <w:pStyle w:val="Heading2"/>
      </w:pPr>
      <w:r>
        <w:t xml:space="preserve">5. Findings: The Social Worker in Berlin</w:t>
      </w:r>
    </w:p>
    <w:bookmarkStart w:id="24" w:name="adaptation-to-diversity"/>
    <w:p>
      <w:pPr>
        <w:pStyle w:val="Heading3"/>
      </w:pPr>
      <w:r>
        <w:t xml:space="preserve">5.1 Adaptation to Diversity</w:t>
      </w:r>
    </w:p>
    <w:p>
      <w:pPr>
        <w:pStyle w:val="FirstParagraph"/>
      </w:pPr>
      <w:r>
        <w:t xml:space="preserve">The</w:t>
      </w:r>
      <w:r>
        <w:t xml:space="preserve"> </w:t>
      </w:r>
      <w:r>
        <w:rPr>
          <w:bCs/>
          <w:b/>
        </w:rPr>
        <w:t xml:space="preserve">Social Worker</w:t>
      </w:r>
      <w:r>
        <w:t xml:space="preserve"> </w:t>
      </w:r>
      <w:r>
        <w:t xml:space="preserve">in /strong plays a pivotal role as a cultural mediator. Given the city’s demographic composition, where over 25% of residents have a migration background, effective social work requires high levels of cultural competence. The findings indicate that successful Social Workers in Berlin often utilize intercultural mediation skills to bridge gaps between state institutions and migrant communities. This is particularly crucial in SGB VIII contexts (Youth Welfare), where family structures may differ significantly from traditional German norms.</w:t>
      </w:r>
    </w:p>
    <w:bookmarkEnd w:id="24"/>
    <w:bookmarkStart w:id="25" w:name="bureaucratic-navigation"/>
    <w:p>
      <w:pPr>
        <w:pStyle w:val="Heading3"/>
      </w:pPr>
      <w:r>
        <w:t xml:space="preserve">5.2 Bureaucratic Navigation</w:t>
      </w:r>
    </w:p>
    <w:p>
      <w:pPr>
        <w:pStyle w:val="FirstParagraph"/>
      </w:pPr>
      <w:r>
        <w:t xml:space="preserve">A significant portion of a</w:t>
      </w:r>
    </w:p>
    <w:p>
      <w:pPr>
        <w:pStyle w:val="BodyText"/>
      </w:pPr>
      <w:r>
        <w:t xml:space="preserve">Social Worker’s</w:t>
      </w:r>
    </w:p>
    <w:p>
      <w:pPr>
        <w:pStyle w:val="BodyText"/>
      </w:pPr>
      <w:r>
        <w:t xml:space="preserve">/strong time in Berlin is dedicated to administrative navigation. Clients often struggle with the complexity of the Jobcenter and Youth Welfare Office procedures. The Social Worker acts as an advocate, helping clients prepare documentation and appealing decisions when necessary. This aspect of the role highlights the importance of legal literacy alongside psychological support skills.</w:t>
      </w:r>
    </w:p>
    <w:bookmarkEnd w:id="25"/>
    <w:bookmarkStart w:id="26" w:name="housing-crisis-interventions"/>
    <w:p>
      <w:pPr>
        <w:pStyle w:val="Heading3"/>
      </w:pPr>
      <w:r>
        <w:t xml:space="preserve">5.3 Housing Crisis Interventions</w:t>
      </w:r>
    </w:p>
    <w:p>
      <w:pPr>
        <w:pStyle w:val="FirstParagraph"/>
      </w:pPr>
      <w:r>
        <w:t xml:space="preserve">In</w:t>
      </w:r>
    </w:p>
    <w:p>
      <w:pPr>
        <w:pStyle w:val="BodyText"/>
      </w:pPr>
      <w:r>
        <w:t xml:space="preserve">Germany Berlin</w:t>
      </w:r>
    </w:p>
    <w:p>
      <w:pPr>
        <w:pStyle w:val="BodyText"/>
      </w:pPr>
      <w:r>
        <w:t xml:space="preserve">/strong/, the housing market is a critical stressor. Social Workers are frequently involved in preventing evictions by negotiating with landlords or coordinating emergency shelter placements. The report notes that proactive intervention by a trained</w:t>
      </w:r>
    </w:p>
    <w:p>
      <w:pPr>
        <w:pStyle w:val="BodyText"/>
      </w:pPr>
      <w:r>
        <w:t xml:space="preserve">Social Worker</w:t>
      </w:r>
    </w:p>
    <w:p>
      <w:pPr>
        <w:pStyle w:val="BodyText"/>
      </w:pPr>
      <w:r>
        <w:t xml:space="preserve">/strong can significantly reduce homelessness rates, though resource constraints remain a major bottleneck.</w:t>
      </w:r>
    </w:p>
    <w:bookmarkEnd w:id="26"/>
    <w:bookmarkEnd w:id="27"/>
    <w:bookmarkStart w:id="28" w:name="Xbc0b6c6ae284631488050e4eeb0c4ae1119216a"/>
    <w:p>
      <w:pPr>
        <w:pStyle w:val="Heading2"/>
      </w:pPr>
      <w:r>
        <w:t xml:space="preserve">6. Discussion: Challenges and Recommendations</w:t>
      </w:r>
    </w:p>
    <w:p>
      <w:pPr>
        <w:pStyle w:val="FirstParagraph"/>
      </w:pPr>
      <w:r>
        <w:t xml:space="preserve">The analysis reveals that while the theoretical framework for social work in Germany is robust, practical implementation in</w:t>
      </w:r>
    </w:p>
    <w:p>
      <w:pPr>
        <w:pStyle w:val="BodyText"/>
      </w:pPr>
      <w:r>
        <w:t xml:space="preserve">Germany Berlin</w:t>
      </w:r>
    </w:p>
    <w:p>
      <w:pPr>
        <w:pStyle w:val="BodyText"/>
      </w:pPr>
      <w:r>
        <w:t xml:space="preserve">/strong faces systemic pressures. High caseloads often limit the time a</w:t>
      </w:r>
    </w:p>
    <w:p>
      <w:pPr>
        <w:pStyle w:val="BodyText"/>
      </w:pPr>
      <w:r>
        <w:t xml:space="preserve">Social Worker</w:t>
      </w:r>
    </w:p>
    <w:p>
      <w:pPr>
        <w:pStyle w:val="BodyText"/>
      </w:pPr>
      <w:r>
        <w:t xml:space="preserve">/strong can spend on individualized care. Furthermore, the shortage of specialized staff in child protection and mental health services creates delays that can negatively impact client outcomes.</w:t>
      </w:r>
    </w:p>
    <w:p>
      <w:pPr>
        <w:pStyle w:val="BodyText"/>
      </w:pPr>
      <w:r>
        <w:rPr>
          <w:bCs/>
          <w:b/>
        </w:rPr>
        <w:t xml:space="preserve">Recommendations for Policy and Practice:</w:t>
      </w:r>
    </w:p>
    <w:p>
      <w:pPr>
        <w:numPr>
          <w:ilvl w:val="0"/>
          <w:numId w:val="1003"/>
        </w:numPr>
        <w:pStyle w:val="Compact"/>
      </w:pPr>
      <w:r>
        <w:rPr>
          <w:bCs/>
          <w:b/>
        </w:rPr>
        <w:t xml:space="preserve">Increase Funding:</w:t>
      </w:r>
      <w:r>
        <w:t xml:space="preserve"> </w:t>
      </w:r>
      <w:r>
        <w:t xml:space="preserve">Municipal budgets in Berlin must prioritize hiring more</w:t>
      </w:r>
    </w:p>
    <w:p>
      <w:pPr>
        <w:numPr>
          <w:ilvl w:val="0"/>
          <w:numId w:val="1000"/>
        </w:numPr>
        <w:pStyle w:val="Compact"/>
      </w:pPr>
      <w:r>
        <w:t xml:space="preserve">Social Workers</w:t>
      </w:r>
    </w:p>
    <w:p>
      <w:pPr>
        <w:numPr>
          <w:ilvl w:val="0"/>
          <w:numId w:val="1000"/>
        </w:numPr>
        <w:pStyle w:val="Compact"/>
      </w:pPr>
      <w:r>
        <w:t xml:space="preserve">/strong to reduce caseload ratios.</w:t>
      </w:r>
    </w:p>
    <w:p>
      <w:pPr>
        <w:numPr>
          <w:ilvl w:val="0"/>
          <w:numId w:val="1003"/>
        </w:numPr>
        <w:pStyle w:val="Compact"/>
      </w:pPr>
      <w:r>
        <w:rPr>
          <w:bCs/>
          <w:b/>
        </w:rPr>
        <w:t xml:space="preserve">Cultural Competency Training:</w:t>
      </w:r>
      <w:r>
        <w:t xml:space="preserve"> </w:t>
      </w:r>
      <w:r>
        <w:t xml:space="preserve">Mandatory training for all public sector social workers in Berlin to address the specific needs of diverse communities.</w:t>
      </w:r>
    </w:p>
    <w:p>
      <w:pPr>
        <w:numPr>
          <w:ilvl w:val="0"/>
          <w:numId w:val="1003"/>
        </w:numPr>
        <w:pStyle w:val="Compact"/>
      </w:pPr>
      <w:r>
        <w:rPr>
          <w:bCs/>
          <w:b/>
        </w:rPr>
        <w:t xml:space="preserve">Digital Integration:</w:t>
      </w:r>
      <w:r>
        <w:t xml:space="preserve"> </w:t>
      </w:r>
      <w:r>
        <w:t xml:space="preserve">Streamlining digital platforms for clients to interact with social services, reducing administrative burdens and allowing Social Workers to focus on direct client support.</w:t>
      </w:r>
    </w:p>
    <w:bookmarkEnd w:id="28"/>
    <w:bookmarkStart w:id="29" w:name="conclusion"/>
    <w:p>
      <w:pPr>
        <w:pStyle w:val="Heading2"/>
      </w:pPr>
      <w:r>
        <w:t xml:space="preserve">7. Conclusion</w:t>
      </w:r>
    </w:p>
    <w:p>
      <w:pPr>
        <w:pStyle w:val="FirstParagraph"/>
      </w:pPr>
      <w:r>
        <w:t xml:space="preserve">This Lab Report confirms that the role of the</w:t>
      </w:r>
    </w:p>
    <w:p>
      <w:pPr>
        <w:pStyle w:val="BodyText"/>
      </w:pPr>
      <w:r>
        <w:t xml:space="preserve">Social Worker</w:t>
      </w:r>
    </w:p>
    <w:p>
      <w:pPr>
        <w:pStyle w:val="BodyText"/>
      </w:pPr>
      <w:r>
        <w:t xml:space="preserve">/strong in</w:t>
      </w:r>
    </w:p>
    <w:p>
      <w:pPr>
        <w:pStyle w:val="BodyText"/>
      </w:pPr>
      <w:r>
        <w:t xml:space="preserve">Germany Berlin</w:t>
      </w:r>
    </w:p>
    <w:p>
      <w:pPr>
        <w:pStyle w:val="BodyText"/>
      </w:pPr>
      <w:r>
        <w:t xml:space="preserve">/strong is complex, multifaceted, and indispensable. It requires a blend of legal expertise, psychological insight, and cultural sensitivity. The unique urban dynamics of Berlin demand a social work model that is both responsive to immediate crises and proactive in long-term community building.</w:t>
      </w:r>
    </w:p>
    <w:p>
      <w:pPr>
        <w:pStyle w:val="BodyText"/>
      </w:pPr>
      <w:r>
        <w:t xml:space="preserve">As</w:t>
      </w:r>
    </w:p>
    <w:p>
      <w:pPr>
        <w:pStyle w:val="BodyText"/>
      </w:pPr>
      <w:r>
        <w:t xml:space="preserve">Germany Berlin</w:t>
      </w:r>
    </w:p>
    <w:p>
      <w:pPr>
        <w:pStyle w:val="BodyText"/>
      </w:pPr>
      <w:r>
        <w:t xml:space="preserve">/strong continues to evolve demographically, the profession must adapt. The findings suggest that investing in the professional development of Social Workers and improving inter-agency cooperation will yield significant social benefits. Ultimately, the effectiveness of social services in Berlin is a direct reflection of how well society supports its most vulnerable members through skilled</w:t>
      </w:r>
    </w:p>
    <w:p>
      <w:pPr>
        <w:pStyle w:val="BodyText"/>
      </w:pPr>
      <w:r>
        <w:t xml:space="preserve">Social Worker</w:t>
      </w:r>
    </w:p>
    <w:p>
      <w:pPr>
        <w:pStyle w:val="BodyText"/>
      </w:pPr>
      <w:r>
        <w:t xml:space="preserve">/strong interventions.</w:t>
      </w:r>
    </w:p>
    <w:bookmarkEnd w:id="29"/>
    <w:bookmarkStart w:id="30" w:name="references-and-legal-basis"/>
    <w:p>
      <w:pPr>
        <w:pStyle w:val="Heading2"/>
      </w:pPr>
      <w:r>
        <w:t xml:space="preserve">8. References and Legal Basis</w:t>
      </w:r>
    </w:p>
    <w:p>
      <w:pPr>
        <w:numPr>
          <w:ilvl w:val="0"/>
          <w:numId w:val="1004"/>
        </w:numPr>
        <w:pStyle w:val="Compact"/>
      </w:pPr>
      <w:r>
        <w:t xml:space="preserve">Social Code Book VIII (SGB VIII) - Child and Youth Services.</w:t>
      </w:r>
    </w:p>
    <w:p>
      <w:pPr>
        <w:numPr>
          <w:ilvl w:val="0"/>
          <w:numId w:val="1004"/>
        </w:numPr>
        <w:pStyle w:val="Compact"/>
      </w:pPr>
      <w:r>
        <w:t xml:space="preserve">Social Code Book II (SGB II) - Basic Security for Job Seekers.</w:t>
      </w:r>
    </w:p>
    <w:p>
      <w:pPr>
        <w:numPr>
          <w:ilvl w:val="0"/>
          <w:numId w:val="1004"/>
        </w:numPr>
        <w:pStyle w:val="Compact"/>
      </w:pPr>
      <w:r>
        <w:t xml:space="preserve">Municipal Reports on Social Integration in Berlin, Senate Department for Labor, Social Affairs, Health and Women.</w:t>
      </w:r>
    </w:p>
    <w:p>
      <w:pPr>
        <w:numPr>
          <w:ilvl w:val="0"/>
          <w:numId w:val="1004"/>
        </w:numPr>
        <w:pStyle w:val="Compact"/>
      </w:pPr>
      <w:r>
        <w:t xml:space="preserve">Guidelines of the German Association for Public and Private Welfare (Deutscher Verein).</w:t>
      </w:r>
    </w:p>
    <w:p>
      <w:pPr>
        <w:pStyle w:val="FirstParagraph"/>
      </w:pPr>
      <w:r>
        <w:rPr>
          <w:iCs/>
          <w:i/>
        </w:rPr>
        <w:t xml:space="preserve">Note: This document is structured as a formal Lab Report to adhere to the requested format while addressing the specific thematic constraints regarding Social Work in Germany, Berlin.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Social Work Practices in Germany, Berlin</dc:title>
  <dc:creator/>
  <dc:language>en</dc:language>
  <cp:keywords/>
  <dcterms:created xsi:type="dcterms:W3CDTF">2026-07-29T05:03:04Z</dcterms:created>
  <dcterms:modified xsi:type="dcterms:W3CDTF">2026-07-29T05:03:04Z</dcterms:modified>
</cp:coreProperties>
</file>

<file path=docProps/custom.xml><?xml version="1.0" encoding="utf-8"?>
<Properties xmlns="http://schemas.openxmlformats.org/officeDocument/2006/custom-properties" xmlns:vt="http://schemas.openxmlformats.org/officeDocument/2006/docPropsVTypes"/>
</file>