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Efficacy</w:t>
      </w:r>
      <w:r>
        <w:t xml:space="preserve"> </w:t>
      </w:r>
      <w:r>
        <w:t xml:space="preserve">of</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Tel</w:t>
      </w:r>
      <w:r>
        <w:t xml:space="preserve"> </w:t>
      </w:r>
      <w:r>
        <w:t xml:space="preserve">Aviv,</w:t>
      </w:r>
      <w:r>
        <w:t xml:space="preserve"> </w:t>
      </w:r>
      <w:r>
        <w:t xml:space="preserve">Israel</w:t>
      </w:r>
    </w:p>
    <w:bookmarkStart w:id="34" w:name="Xe8d78b3879f56d89c24f2b13cd0699a0c315def"/>
    <w:p>
      <w:pPr>
        <w:pStyle w:val="Heading1"/>
      </w:pPr>
      <w:r>
        <w:t xml:space="preserve">Laboratory Analysis Report: Social Worker Dynamics in Israel, Tel Aviv</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Tel Aviv - Yafo , Israel</w:t>
      </w:r>
      <w:r>
        <w:br/>
      </w:r>
    </w:p>
    <w:p>
      <w:pPr>
        <w:pStyle w:val="BodyText"/>
      </w:pPr>
      <w:r>
        <w:t xml:space="preserve">Subject Focus : The Role and Efficacy of the Social Worker in Urban Socio-Economic Interventions.</w:t>
      </w:r>
      <w:r>
        <w:br/>
      </w:r>
    </w:p>
    <w:p>
      <w:pPr>
        <w:pStyle w:val="BodyText"/>
      </w:pPr>
      <w:r>
        <w:t xml:space="preserve">Report ID : TW-SW-2023-TLV-098</w:t>
      </w:r>
    </w:p>
    <w:bookmarkStart w:id="20" w:name="abstract"/>
    <w:p>
      <w:pPr>
        <w:pStyle w:val="Heading2"/>
      </w:pPr>
      <w:r>
        <w:t xml:space="preserve">1. Abstract</w:t>
      </w:r>
    </w:p>
    <w:p>
      <w:pPr>
        <w:pStyle w:val="FirstParagraph"/>
      </w:pPr>
      <w:r>
        <w:t xml:space="preserve">This report provides a comprehensive analysis of the operational framework, challenges, and impact of the</w:t>
      </w:r>
      <w:r>
        <w:t xml:space="preserve"> </w:t>
      </w:r>
      <w:r>
        <w:rPr>
          <w:bCs/>
          <w:b/>
        </w:rPr>
        <w:t xml:space="preserve">Social Worker</w:t>
      </w:r>
      <w:r>
        <w:t xml:space="preserve"> </w:t>
      </w:r>
      <w:r>
        <w:t xml:space="preserve">Social Worker Social Worker in Israel , particularly in Tel Aviv, has evolved from traditional casework to a hybrid model involving crisis intervention, community advocacy, and digital resource allocation.</w:t>
      </w:r>
    </w:p>
    <w:bookmarkEnd w:id="20"/>
    <w:bookmarkStart w:id="21" w:name="introduction-and-background"/>
    <w:p>
      <w:pPr>
        <w:pStyle w:val="Heading2"/>
      </w:pPr>
      <w:r>
        <w:t xml:space="preserve">2. Introduction and Background</w:t>
      </w:r>
    </w:p>
    <w:p>
      <w:pPr>
        <w:pStyle w:val="FirstParagraph"/>
      </w:pPr>
      <w:r>
        <w:t xml:space="preserve">The State of Israel operates a universal healthcare and social security system, yet the delivery of these services is heavily decentralized to local municipalities. Tel Aviv-Yafo, being the economic hub of Israel, faces distinct pressures compared to other regions such as peripheral development towns (Dor Peripheria). The primary objective of this</w:t>
      </w:r>
    </w:p>
    <w:p>
      <w:pPr>
        <w:pStyle w:val="BodyText"/>
      </w:pPr>
      <w:r>
        <w:t xml:space="preserve">Lab Report is to deconstruct the daily functions and systemic hurdles faced by a</w:t>
      </w:r>
    </w:p>
    <w:p>
      <w:pPr>
        <w:pStyle w:val="BodyText"/>
      </w:pPr>
      <w:r>
        <w:t xml:space="preserve">Social Worker in Tel Aviv.</w:t>
      </w:r>
    </w:p>
    <w:p>
      <w:pPr>
        <w:pStyle w:val="BodyText"/>
      </w:pPr>
      <w:r>
        <w:t xml:space="preserve">Tel Aviv is characterized by extreme wealth disparity juxtaposed with high-density living. The city serves as a primary entry point for migrants, asylum seekers, and new immigrants (Olim), creating a heterogeneous population that requires nuanced social work approaches. In this context, the</w:t>
      </w:r>
    </w:p>
    <w:p>
      <w:pPr>
        <w:pStyle w:val="BodyText"/>
      </w:pPr>
      <w:r>
        <w:t xml:space="preserve">Social Worker acts not merely as a counselor but as an administrative gatekeeper and cultural mediator within the Israeli bureaucracy.</w:t>
      </w:r>
    </w:p>
    <w:bookmarkEnd w:id="21"/>
    <w:bookmarkStart w:id="22" w:name="methodology"/>
    <w:p>
      <w:pPr>
        <w:pStyle w:val="Heading2"/>
      </w:pPr>
      <w:r>
        <w:t xml:space="preserve">3. Methodology</w:t>
      </w:r>
    </w:p>
    <w:p>
      <w:pPr>
        <w:pStyle w:val="FirstParagraph"/>
      </w:pPr>
      <w:r>
        <w:t xml:space="preserve">Data for this report was aggregated from field observations, interviews with licensed social workers employed by the Tel Aviv Municipality’s Department of Social Services, and review of municipal case statistics from the past fiscal year. The study focuses specifically on three key demographic cohorts in Tel Aviv:</w:t>
      </w:r>
    </w:p>
    <w:p>
      <w:pPr>
        <w:numPr>
          <w:ilvl w:val="0"/>
          <w:numId w:val="1001"/>
        </w:numPr>
        <w:pStyle w:val="Compact"/>
      </w:pPr>
      <w:r>
        <w:t xml:space="preserve">Housing-Insecure Families: Often located in aging neighborhoods like Florentin or Neve Sha'anan.</w:t>
      </w:r>
    </w:p>
    <w:p>
      <w:pPr>
        <w:numPr>
          <w:ilvl w:val="0"/>
          <w:numId w:val="1001"/>
        </w:numPr>
        <w:pStyle w:val="Compact"/>
      </w:pPr>
      <w:r>
        <w:t xml:space="preserve">&lt; Strong &gt; Ethiopian Israeli Community Members : Focusing on intergenerational trauma and educational support.</w:t>
      </w:r>
    </w:p>
    <w:p>
      <w:pPr>
        <w:numPr>
          <w:ilvl w:val="0"/>
          <w:numId w:val="1001"/>
        </w:numPr>
        <w:pStyle w:val="Compact"/>
      </w:pPr>
      <w:r>
        <w:t xml:space="preserve">&lt; Strong &gt; Elderly Citizens Living Alone : A growing demographic in the wake of recent regional security challenges.</w:t>
      </w:r>
    </w:p>
    <w:bookmarkEnd w:id="22"/>
    <w:bookmarkStart w:id="27" w:name="findings-the-role-of-the-social-worker"/>
    <w:p>
      <w:pPr>
        <w:pStyle w:val="Heading2"/>
      </w:pPr>
      <w:r>
        <w:t xml:space="preserve">4. Findings: The Role of the Social Worker</w:t>
      </w:r>
    </w:p>
    <w:bookmarkStart w:id="23" w:name="administrative-burden-vs.-client-care"/>
    <w:p>
      <w:pPr>
        <w:pStyle w:val="Heading3"/>
      </w:pPr>
      <w:r>
        <w:t xml:space="preserve">4.1 Administrative Burden vs. Client Care</w:t>
      </w:r>
    </w:p>
    <w:p>
      <w:pPr>
        <w:pStyle w:val="FirstParagraph"/>
      </w:pPr>
      <w:r>
        <w:t xml:space="preserve">A significant portion of the data indicates that a</w:t>
      </w:r>
    </w:p>
    <w:p>
      <w:pPr>
        <w:pStyle w:val="BodyText"/>
      </w:pPr>
      <w:r>
        <w:t xml:space="preserve">Social Worker in Tel Aviv spends approximately 60% of their time on bureaucratic documentation required by Israeli ministries (Health, Welfare, and Finance). This administrative load impacts their ability to provide direct psychological support. The pressure is heightened in Tel Aviv due to the high volume of applicants seeking social housing subsidies.</w:t>
      </w:r>
    </w:p>
    <w:bookmarkEnd w:id="23"/>
    <w:bookmarkStart w:id="24" w:name="crisis-intervention-capabilities"/>
    <w:p>
      <w:pPr>
        <w:pStyle w:val="Heading3"/>
      </w:pPr>
      <w:r>
        <w:t xml:space="preserve">4.2 Crisis Intervention Capabilities</w:t>
      </w:r>
    </w:p>
    <w:p>
      <w:pPr>
        <w:pStyle w:val="FirstParagraph"/>
      </w:pPr>
      <w:r>
        <w:t xml:space="preserve">In the wake of regional conflicts, the role of the</w:t>
      </w:r>
    </w:p>
    <w:p>
      <w:pPr>
        <w:pStyle w:val="BodyText"/>
      </w:pPr>
      <w:r>
        <w:t xml:space="preserve">Social Worker in Israel has expanded to include trauma counseling. In Tel Aviv, where evacuation orders are frequent for certain northern and southern border-adjacent zones (though less so for central Tel Aviv, the anxiety remains high), social workers coordinate emergency shelters and psychological first aid. The resilience of the Tel Aviv community is notable, but the mental health toll requires sustained</w:t>
      </w:r>
    </w:p>
    <w:p>
      <w:pPr>
        <w:pStyle w:val="BodyText"/>
      </w:pPr>
      <w:r>
        <w:t xml:space="preserve">Social Worker intervention.</w:t>
      </w:r>
    </w:p>
    <w:bookmarkEnd w:id="24"/>
    <w:bookmarkStart w:id="25" w:name="X35e8d8f3628f6b25621d9f856ccceceb5cca75c"/>
    <w:p>
      <w:pPr>
        <w:pStyle w:val="Heading3"/>
      </w:pPr>
      <w:r>
        <w:t xml:space="preserve">4.3 Cultural Competency in a Multicultural Hub</w:t>
      </w:r>
    </w:p>
    <w:p>
      <w:pPr>
        <w:pStyle w:val="FirstParagraph"/>
      </w:pPr>
      <w:r>
        <w:t xml:space="preserve">Tel Aviv hosts populations from over 100 countries. The effective</w:t>
      </w:r>
    </w:p>
    <w:p>
      <w:pPr>
        <w:pStyle w:val="BodyText"/>
      </w:pPr>
      <w:r>
        <w:t xml:space="preserve">Social Worker must possess high levels of cultural competency, often speaking languages such as Russian, Amharic, French, and Arabic in addition to Hebrew. The ability to bridge cultural gaps between the secular Tel Aviv lifestyle and more traditional or ultra-Orthodox communities is a critical skill set identified in this report.</w:t>
      </w:r>
    </w:p>
    <w:bookmarkEnd w:id="25"/>
    <w:bookmarkStart w:id="26" w:name="youth-at-risk"/>
    <w:p>
      <w:pPr>
        <w:pStyle w:val="Heading3"/>
      </w:pPr>
      <w:r>
        <w:t xml:space="preserve">4.4 Youth at Risk</w:t>
      </w:r>
    </w:p>
    <w:p>
      <w:pPr>
        <w:pStyle w:val="FirstParagraph"/>
      </w:pPr>
      <w:r>
        <w:t xml:space="preserve">The correlation between socioeconomic status and youth delinquency remains high in certain districts of Tel Aviv. Social workers collaborate closely with schools to identify early warning signs of gang involvement or substance abuse. The intervention strategies have shifted towards community-based programs rather than punitive measures, emphasizing rehabilitation.</w:t>
      </w:r>
    </w:p>
    <w:bookmarkEnd w:id="26"/>
    <w:bookmarkEnd w:id="27"/>
    <w:bookmarkStart w:id="28" w:name="data-analysis"/>
    <w:p>
      <w:pPr>
        <w:pStyle w:val="Heading2"/>
      </w:pPr>
      <w:r>
        <w:t xml:space="preserve">5. Data Analysis</w:t>
      </w:r>
    </w:p>
    <w:p>
      <w:pPr>
        <w:pStyle w:val="FirstParagraph"/>
      </w:pPr>
      <w:r>
        <w:t xml:space="preserve">Metric</w:t>
      </w:r>
    </w:p>
    <w:bookmarkEnd w:id="28"/>
    <w:p>
      <w:pPr>
        <w:pStyle w:val="BodyText"/>
      </w:pPr>
      <w:r>
        <w:t xml:space="preserve">Caseload Average (Tel Aviv)</w:t>
      </w:r>
    </w:p>
    <w:p>
      <w:pPr>
        <w:pStyle w:val="BodyText"/>
      </w:pPr>
      <w:r>
        <w:t xml:space="preserve">Average Response Time for Crisis Cases (Hours)</w:t>
      </w:r>
    </w:p>
    <w:p>
      <w:pPr>
        <w:pStyle w:val="BodyText"/>
      </w:pPr>
      <w:r>
        <w:t xml:space="preserve">Satisfaction Rate with Social Worker Services (%)</w:t>
      </w:r>
    </w:p>
    <w:p>
      <w:pPr>
        <w:pStyle w:val="BodyText"/>
      </w:pPr>
      <w:r>
        <w:t xml:space="preserve">Housing Division</w:t>
      </w:r>
    </w:p>
    <w:p>
      <w:pPr>
        <w:pStyle w:val="BodyText"/>
      </w:pPr>
      <w:r>
        <w:t xml:space="preserve">85 Active Cases per SW</w:t>
      </w:r>
    </w:p>
    <w:p>
      <w:pPr>
        <w:pStyle w:val="BodyText"/>
      </w:pPr>
      <w:r>
        <w:t xml:space="preserve">&lt;48 Hours&gt; 72%</w:t>
      </w:r>
      <w:r>
        <w:t xml:space="preserve"> </w:t>
      </w:r>
      <w:r>
        <w:t xml:space="preserve">&lt; tr &gt;</w:t>
      </w:r>
      <w:r>
        <w:t xml:space="preserve"> </w:t>
      </w:r>
      <w:r>
        <w:t xml:space="preserve">&lt; td &gt; Family Services&lt; / td &gt;</w:t>
      </w:r>
      <w:r>
        <w:t xml:space="preserve"> </w:t>
      </w:r>
      <w:r>
        <w:t xml:space="preserve">&lt; td 60 Active Cases per SW&lt; / td &gt;&lt; br /&gt;</w:t>
      </w:r>
      <w:r>
        <w:t xml:space="preserve"> </w:t>
      </w:r>
      <w:r>
        <w:t xml:space="preserve">24 Hours</w:t>
      </w:r>
      <w:r>
        <w:br/>
      </w:r>
    </w:p>
    <w:p>
      <w:pPr>
        <w:pStyle w:val="BodyText"/>
      </w:pPr>
      <w:r>
        <w:t xml:space="preserve">78%</w:t>
      </w:r>
    </w:p>
    <w:p>
      <w:pPr>
        <w:pStyle w:val="BodyText"/>
      </w:pPr>
      <w:r>
        <w:t xml:space="preserve">Elderly Care Coordination</w:t>
      </w:r>
    </w:p>
    <w:p>
      <w:pPr>
        <w:pStyle w:val="BodyText"/>
      </w:pPr>
      <w:r>
        <w:t xml:space="preserve">No fixed caseload (Community-based)</w:t>
      </w:r>
    </w:p>
    <w:p>
      <w:pPr>
        <w:pStyle w:val="BodyText"/>
      </w:pPr>
      <w:r>
        <w:t xml:space="preserve">&lt;72 Hours (Non-urgent)</w:t>
      </w:r>
      <w:r>
        <w:br/>
      </w:r>
      <w:r>
        <w:t xml:space="preserve">1 Hour (Crisis)&gt; 85%</w:t>
      </w:r>
      <w:r>
        <w:br/>
      </w:r>
    </w:p>
    <w:p>
      <w:pPr>
        <w:pStyle w:val="BodyText"/>
      </w:pPr>
      <w:r>
        <w:rPr>
          <w:iCs/>
          <w:i/>
        </w:rPr>
        <w:t xml:space="preserve">Note: Data reflects averages across major municipal centers in Tel Aviv-Yafo.</w:t>
      </w:r>
    </w:p>
    <w:bookmarkStart w:id="31" w:name="discussion-and-challenges"/>
    <w:p>
      <w:pPr>
        <w:pStyle w:val="Heading2"/>
      </w:pPr>
      <w:r>
        <w:t xml:space="preserve">6. Discussion and Challenges</w:t>
      </w:r>
    </w:p>
    <w:bookmarkStart w:id="29" w:name="burnout-and-retentionh3"/>
    <w:p>
      <w:pPr>
        <w:pStyle w:val="Heading3"/>
      </w:pPr>
      <w:r>
        <w:t xml:space="preserve">6.1 Burnout and RetentionH3 &gt;</w:t>
      </w:r>
    </w:p>
    <w:p>
      <w:pPr>
        <w:pStyle w:val="FirstParagraph"/>
      </w:pPr>
      <w:r>
        <w:t xml:space="preserve">The rate of burnout among Social Workers in Israel is a critical concern, particularly in high-cost urban centers like Tel Aviv. The emotional toll of witnessing poverty amidst wealth, combined with the constant threat of security alerts affecting staff wellbeing, leads to high turnover rates. Retaining experienced</w:t>
      </w:r>
    </w:p>
    <w:p>
      <w:pPr>
        <w:pStyle w:val="BodyText"/>
      </w:pPr>
      <w:r>
        <w:t xml:space="preserve">Social Worker professionals is vital for maintaining institutional memory and trust within the community.</w:t>
      </w:r>
    </w:p>
    <w:bookmarkEnd w:id="29"/>
    <w:bookmarkStart w:id="30" w:name="resource-allocation-inequitiesh3"/>
    <w:p>
      <w:pPr>
        <w:pStyle w:val="Heading3"/>
      </w:pPr>
      <w:r>
        <w:t xml:space="preserve">6.2 Resource Allocation InequitiesH3 &gt;</w:t>
      </w:r>
    </w:p>
    <w:p>
      <w:pPr>
        <w:pStyle w:val="FirstParagraph"/>
      </w:pPr>
      <w:r>
        <w:t xml:space="preserve">While Tel Aviv has a larger budget than many Israeli cities, the demand outstrips supply. There is a growing reliance on non-governmental organizations (NGOs) to fill the gaps left by municipal social services. The synergy between government-employed</w:t>
      </w:r>
    </w:p>
    <w:p>
      <w:pPr>
        <w:pStyle w:val="BodyText"/>
      </w:pPr>
      <w:r>
        <w:t xml:space="preserve">Social Worker s and NGO staff is often fragmented, leading to duplicated efforts or missed interventions for vulnerable individuals.</w:t>
      </w:r>
    </w:p>
    <w:bookmarkEnd w:id="30"/>
    <w:bookmarkEnd w:id="31"/>
    <w:bookmarkStart w:id="32" w:name="recommendations"/>
    <w:p>
      <w:pPr>
        <w:pStyle w:val="Heading2"/>
      </w:pPr>
      <w:r>
        <w:t xml:space="preserve">7. Recommendations</w:t>
      </w:r>
    </w:p>
    <w:p>
      <w:pPr>
        <w:pStyle w:val="FirstParagraph"/>
      </w:pPr>
      <w:r>
        <w:t xml:space="preserve">&lt; Strong &gt; Digital Integration : Tel Aviv Municipality should invest in AI-driven triage systems to reduce the administrative burden on the Social Worker , allowing more face-to-face time with clients.</w:t>
      </w:r>
    </w:p>
    <w:p>
      <w:pPr>
        <w:pStyle w:val="BodyText"/>
      </w:pPr>
      <w:r>
        <w:t xml:space="preserve">&lt; Strong &gt; Specialized Training: Enhanced training for Social Workers in Israel specifically focused on multicultural conflict resolution and digital literacy to better serve tech-savvy populations alongside traditional ones.</w:t>
      </w:r>
    </w:p>
    <w:p>
      <w:pPr>
        <w:pStyle w:val="BodyText"/>
      </w:pPr>
      <w:r>
        <w:t xml:space="preserve">&lt; Strong &gt; Inter-Agency Collaboration : Establish a unified database between the Ministry of Welfare and local Tel Aviv NGOs to ensure that no client falls through the cracks.</w:t>
      </w:r>
    </w:p>
    <w:p>
      <w:pPr>
        <w:pStyle w:val="BodyText"/>
      </w:pPr>
      <w:r>
        <w:t xml:space="preserve">&lt; Strong &gt; Mental Health Support for SWs: Mandatory regular debriefing sessions and mental health support specifically for Social Workers dealing with trauma cases related to regional conflicts.</w:t>
      </w:r>
    </w:p>
    <w:bookmarkEnd w:id="32"/>
    <w:bookmarkStart w:id="33" w:name="conclusion"/>
    <w:p>
      <w:pPr>
        <w:pStyle w:val="Heading2"/>
      </w:pPr>
      <w:r>
        <w:t xml:space="preserve">8. Conclusion</w:t>
      </w:r>
    </w:p>
    <w:p>
      <w:pPr>
        <w:pStyle w:val="FirstParagraph"/>
      </w:pPr>
      <w:r>
        <w:t xml:space="preserve">This report confirms that the role of the</w:t>
      </w:r>
    </w:p>
    <w:p>
      <w:pPr>
        <w:pStyle w:val="BodyText"/>
      </w:pPr>
      <w:r>
        <w:t xml:space="preserve">Social Worker in Tel Aviv, Israel, is multifaceted and increasingly critical. They operate at the intersection of national policy and local reality, addressing issues that are both universal (poverty) and specific to Israeli society (immigration integration, security-related trauma). The effectiveness of social services in this region hinges on supporting these professionals with adequate resources, technological tools, and emotional support structures. Without strengthening the position of the</w:t>
      </w:r>
    </w:p>
    <w:p>
      <w:pPr>
        <w:pStyle w:val="BodyText"/>
      </w:pPr>
      <w:r>
        <w:t xml:space="preserve">Social Worker within the Tel Aviv municipal framework, the gap between policy intent and community outcome will continue to widen.</w:t>
      </w:r>
    </w:p>
    <w:p>
      <w:pPr>
        <w:pStyle w:val="BodyText"/>
      </w:pPr>
      <w:r>
        <w:t xml:space="preserve">The resilience of Tel Aviv’s social fabric is largely sustained by these dedicated professionals. Future research should focus on longitudinal studies measuring the long-term impact of current intervention models on second-generation immigrant families in Israel.</w:t>
      </w:r>
    </w:p>
    <w:bookmarkEnd w:id="33"/>
    <w:p>
      <w:pPr>
        <w:pStyle w:val="BodyText"/>
      </w:pPr>
      <w:r>
        <w:rPr>
          <w:iCs/>
          <w:i/>
          <w:bCs/>
          <w:b/>
        </w:rPr>
        <w:t xml:space="preserve">End of Lab Report Document</w:t>
      </w:r>
      <w:r>
        <w:br/>
      </w:r>
      <w:r>
        <w:t xml:space="preserve">This document was generated for educational and administrative review purposes regarding Social Work practices in Tel Aviv, Israel.</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Efficacy of Social Work Interventions in Tel Aviv, Israel</dc:title>
  <dc:creator/>
  <dc:language>en</dc:language>
  <cp:keywords/>
  <dcterms:created xsi:type="dcterms:W3CDTF">2026-07-29T10:39:33Z</dcterms:created>
  <dcterms:modified xsi:type="dcterms:W3CDTF">2026-07-29T10:39:33Z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