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Worker</w:t>
      </w:r>
      <w:r>
        <w:t xml:space="preserve"> </w:t>
      </w:r>
      <w:r>
        <w:t xml:space="preserve">Implementation</w:t>
      </w:r>
      <w:r>
        <w:t xml:space="preserve"> </w:t>
      </w:r>
      <w:r>
        <w:t xml:space="preserve">in</w:t>
      </w:r>
      <w:r>
        <w:t xml:space="preserve"> </w:t>
      </w:r>
      <w:r>
        <w:t xml:space="preserve">Myanmar</w:t>
      </w:r>
      <w:r>
        <w:t xml:space="preserve"> </w:t>
      </w:r>
      <w:r>
        <w:t xml:space="preserve">Yangon</w:t>
      </w:r>
    </w:p>
    <w:bookmarkStart w:id="20" w:name="X990f21edc6c39b832d2d62d0f272ea9f16dc5d1"/>
    <w:p>
      <w:pPr>
        <w:pStyle w:val="Heading1"/>
      </w:pPr>
      <w:r>
        <w:t xml:space="preserve">Laboratory Report on Social Intervention Frameworks</w:t>
      </w:r>
    </w:p>
    <w:p>
      <w:pPr>
        <w:pStyle w:val="FirstParagraph"/>
      </w:pPr>
      <w:r>
        <w:rPr>
          <w:bCs/>
          <w:b/>
        </w:rPr>
        <w:t xml:space="preserve">Focal Point:</w:t>
      </w:r>
      <w:r>
        <w:t xml:space="preserve"> </w:t>
      </w:r>
      <w:r>
        <w:t xml:space="preserve">The Role and Efficacy of the</w:t>
      </w:r>
      <w:r>
        <w:t xml:space="preserve"> </w:t>
      </w:r>
      <w:r>
        <w:rPr>
          <w:iCs/>
          <w:i/>
        </w:rPr>
        <w:t xml:space="preserve">Social Worker</w:t>
      </w:r>
    </w:p>
    <w:p>
      <w:pPr>
        <w:pStyle w:val="BodyText"/>
      </w:pPr>
      <w:r>
        <w:rPr>
          <w:bCs/>
          <w:b/>
        </w:rPr>
        <w:t xml:space="preserve">Jurisdiction/Location:</w:t>
      </w:r>
      <w:r>
        <w:t xml:space="preserve"> </w:t>
      </w:r>
      <w:r>
        <w:rPr>
          <w:iCs/>
          <w:i/>
        </w:rPr>
        <w:t xml:space="preserve">Myanmar Yangon</w:t>
      </w:r>
    </w:p>
    <w:p>
      <w:pPr>
        <w:pStyle w:val="BodyText"/>
      </w:pPr>
      <w:r>
        <w:rPr>
          <w:bCs/>
          <w:b/>
        </w:rPr>
        <w:t xml:space="preserve">Date of Compilation:</w:t>
      </w:r>
      <w:r>
        <w:t xml:space="preserve"> </w:t>
      </w:r>
      <w:r>
        <w:t xml:space="preserve">October 2023</w:t>
      </w:r>
    </w:p>
    <w:p>
      <w:pPr>
        <w:pStyle w:val="BodyText"/>
      </w:pPr>
      <w:r>
        <w:t xml:space="preserve">Status:: Final Analysis and Field Observations</w:t>
      </w:r>
    </w:p>
    <w:bookmarkEnd w:id="20"/>
    <w:bookmarkStart w:id="21" w:name="introduction-and-objective-scope"/>
    <w:p>
      <w:pPr>
        <w:pStyle w:val="Heading2"/>
      </w:pPr>
      <w:r>
        <w:t xml:space="preserve">1. Introduction and Objective Scope</w:t>
      </w:r>
    </w:p>
    <w:p>
      <w:pPr>
        <w:pStyle w:val="FirstParagraph"/>
      </w:pPr>
      <w:r>
        <w:t xml:space="preserve">The primary objective of this laboratory report is to analyze the operational dynamics, challenges, and critical necessities of deploying professional Social Workers within the complex socio-political landscape of Myanmar Yangon. This document serves as a formal record of field observations, theoretical applications, and structural assessments regarding community intervention strategies. The term "Lab Report" herein denotes a rigorous examination akin to scientific inquiry applied to social sciences: hypothesizing interventions based on local data, executing them within the</w:t>
      </w:r>
      <w:r>
        <w:t xml:space="preserve"> </w:t>
      </w:r>
      <w:r>
        <w:rPr>
          <w:iCs/>
          <w:i/>
        </w:rPr>
        <w:t xml:space="preserve">Myanmar Yangon</w:t>
      </w:r>
      <w:r>
        <w:t xml:space="preserve"> </w:t>
      </w:r>
      <w:r>
        <w:t xml:space="preserve">context, and measuring outcomes against established human rights and welfare benchmarks.</w:t>
      </w:r>
    </w:p>
    <w:p>
      <w:pPr>
        <w:pStyle w:val="BodyText"/>
      </w:pPr>
      <w:r>
        <w:t xml:space="preserve">In recent years, the capacity for civil society in</w:t>
      </w:r>
      <w:r>
        <w:t xml:space="preserve"> </w:t>
      </w:r>
      <w:r>
        <w:rPr>
          <w:iCs/>
          <w:i/>
        </w:rPr>
        <w:t xml:space="preserve">Myanmar Yangon</w:t>
      </w:r>
      <w:r>
        <w:t xml:space="preserve"> </w:t>
      </w:r>
      <w:r>
        <w:t xml:space="preserve">has faced unprecedented pressure. Consequently, the role of the Social Worker has transcended traditional casework to become a vital component of crisis stabilization. This report details how social workers must adapt their methodologies to navigate infrastructure gaps, economic volatility, and security constraints while maintaining professional ethical standards.</w:t>
      </w:r>
    </w:p>
    <w:bookmarkEnd w:id="21"/>
    <w:bookmarkStart w:id="23" w:name="methodology-and-contextual-analysis"/>
    <w:p>
      <w:pPr>
        <w:pStyle w:val="Heading2"/>
      </w:pPr>
      <w:r>
        <w:t xml:space="preserve">2. Methodology and Contextual Analysis</w:t>
      </w:r>
    </w:p>
    <w:p>
      <w:pPr>
        <w:pStyle w:val="FirstParagraph"/>
      </w:pPr>
      <w:r>
        <w:t xml:space="preserve">The methodology employed in this analysis combines qualitative field interviews with quantitative data regarding service delivery rates in the</w:t>
      </w:r>
      <w:r>
        <w:t xml:space="preserve"> </w:t>
      </w:r>
      <w:r>
        <w:rPr>
          <w:iCs/>
          <w:i/>
        </w:rPr>
        <w:t xml:space="preserve">Myanmar Yangon</w:t>
      </w:r>
      <w:r>
        <w:t xml:space="preserve"> </w:t>
      </w:r>
      <w:r>
        <w:t xml:space="preserve">metropolitan area. The "laboratory" for this study is the urban environment of Yangon, a city characterized by rapid urbanization, high population density, and significant disparity between affluent districts and informal settlements.</w:t>
      </w:r>
    </w:p>
    <w:p>
      <w:pPr>
        <w:pStyle w:val="BodyText"/>
      </w:pPr>
      <w:r>
        <w:t xml:space="preserve">Data collection focused on three key demographics: displaced families due to economic hardship, elderly populations lacking family support structures (due to youth migration or displacement), and at-risk children in street economies. The intervention protocols used by the Social Worker were evaluated based on accessibility, cultural appropriateness within the Theravada Buddhist context of</w:t>
      </w:r>
      <w:r>
        <w:t xml:space="preserve"> </w:t>
      </w:r>
      <w:r>
        <w:rPr>
          <w:iCs/>
          <w:i/>
        </w:rPr>
        <w:t xml:space="preserve">Myanmar Yangon</w:t>
      </w:r>
      <w:r>
        <w:t xml:space="preserve">, and sustainability.</w:t>
      </w:r>
    </w:p>
    <w:bookmarkStart w:id="22" w:name="X824668c8df8fd7f306aeae54f76b23214e84bb3"/>
    <w:p>
      <w:pPr>
        <w:pStyle w:val="Heading3"/>
      </w:pPr>
      <w:r>
        <w:t xml:space="preserve">2.1 Environmental Variables in Myanmar Yangon</w:t>
      </w:r>
    </w:p>
    <w:p>
      <w:pPr>
        <w:pStyle w:val="FirstParagraph"/>
      </w:pPr>
      <w:r>
        <w:t xml:space="preserve">The environment in</w:t>
      </w:r>
      <w:r>
        <w:t xml:space="preserve"> </w:t>
      </w:r>
      <w:r>
        <w:rPr>
          <w:iCs/>
          <w:i/>
        </w:rPr>
        <w:t xml:space="preserve">Myanmar Yangon</w:t>
      </w:r>
    </w:p>
    <w:p>
      <w:pPr>
        <w:numPr>
          <w:ilvl w:val="0"/>
          <w:numId w:val="1001"/>
        </w:numPr>
        <w:pStyle w:val="Compact"/>
      </w:pPr>
      <w:r>
        <w:rPr>
          <w:bCs/>
          <w:b/>
        </w:rPr>
        <w:t xml:space="preserve">Economic Inflation:</w:t>
      </w:r>
      <w:r>
        <w:t xml:space="preserve"> </w:t>
      </w:r>
      <w:r>
        <w:t xml:space="preserve">The devaluation of the Kyat has necessitated that Social Workers prioritize immediate survival needs (food, shelter) over long-term developmental goals.</w:t>
      </w:r>
    </w:p>
    <w:p>
      <w:pPr>
        <w:numPr>
          <w:ilvl w:val="0"/>
          <w:numId w:val="1001"/>
        </w:numPr>
        <w:pStyle w:val="Compact"/>
      </w:pPr>
      <w:r>
        <w:rPr>
          <w:bCs/>
          <w:b/>
        </w:rPr>
        <w:t xml:space="preserve">Digital Divide:</w:t>
      </w:r>
      <w:r>
        <w:t xml:space="preserve"> </w:t>
      </w:r>
      <w:r>
        <w:t xml:space="preserve">Internet fluctuations in</w:t>
      </w:r>
      <w:r>
        <w:t xml:space="preserve"> </w:t>
      </w:r>
      <w:r>
        <w:rPr>
          <w:iCs/>
          <w:i/>
        </w:rPr>
        <w:t xml:space="preserve">Myanmar Yangon</w:t>
      </w:r>
      <w:r>
        <w:t xml:space="preserve"> </w:t>
      </w:r>
      <w:r>
        <w:t xml:space="preserve">limit remote casework, forcing a reliance on physical presence, which increases safety risks for the Social Worker.</w:t>
      </w:r>
    </w:p>
    <w:p>
      <w:pPr>
        <w:numPr>
          <w:ilvl w:val="0"/>
          <w:numId w:val="1001"/>
        </w:numPr>
        <w:pStyle w:val="Compact"/>
      </w:pPr>
      <w:r>
        <w:rPr>
          <w:bCs/>
          <w:b/>
        </w:rPr>
        <w:t xml:space="preserve">Cultural Hierarchy:</w:t>
      </w:r>
      <w:r>
        <w:t xml:space="preserve">The respect for elders and community leaders requires that the Social Worker engage in dialogue with local *Thudhamma* (community) heads before initiating individual interventions.</w:t>
      </w:r>
    </w:p>
    <w:bookmarkEnd w:id="22"/>
    <w:bookmarkEnd w:id="23"/>
    <w:bookmarkStart w:id="27" w:name="observations-of-the-social-worker-role"/>
    <w:p>
      <w:pPr>
        <w:pStyle w:val="Heading2"/>
      </w:pPr>
      <w:r>
        <w:t xml:space="preserve">3. Observations of the Social Worker Role</w:t>
      </w:r>
    </w:p>
    <w:p>
      <w:pPr>
        <w:pStyle w:val="FirstParagraph"/>
      </w:pPr>
      <w:r>
        <w:t xml:space="preserve">The findings indicate that a Social Worker in this context functions not merely as a counselor but as a multi-disciplinary crisis manager. The following observations highlight the specific duties observed during the testing phase of our intervention models.</w:t>
      </w:r>
    </w:p>
    <w:bookmarkStart w:id="24" w:name="needs-assessment-and-triage"/>
    <w:p>
      <w:pPr>
        <w:pStyle w:val="Heading3"/>
      </w:pPr>
      <w:r>
        <w:t xml:space="preserve">3.1 Needs Assessment and Triage</w:t>
      </w:r>
    </w:p>
    <w:p>
      <w:pPr>
        <w:pStyle w:val="FirstParagraph"/>
      </w:pPr>
      <w:r>
        <w:t xml:space="preserve">In the initial phase, the Social Worker must conduct rapid triage. In</w:t>
      </w:r>
      <w:r>
        <w:t xml:space="preserve"> </w:t>
      </w:r>
      <w:r>
        <w:rPr>
          <w:iCs/>
          <w:i/>
        </w:rPr>
        <w:t xml:space="preserve">Myanmar Yangon</w:t>
      </w:r>
      <w:r>
        <w:t xml:space="preserve">, resources are scarce. A standard assessment tool used in Western laboratories is often insufficient. The observed Social Workers developed a localized triage system that prioritizes cases involving acute malnutrition and imminent homelessness. This adaptability is the hallmark of effective practice in this region.</w:t>
      </w:r>
    </w:p>
    <w:p>
      <w:pPr>
        <w:pStyle w:val="BodyText"/>
      </w:pPr>
      <w:r>
        <w:t xml:space="preserve">3.2 Psychological First Aid (PFA)</w:t>
      </w:r>
    </w:p>
    <w:p>
      <w:pPr>
        <w:pStyle w:val="BodyText"/>
      </w:pPr>
      <w:r>
        <w:t xml:space="preserve">Mental health stigma remains high in parts of</w:t>
      </w:r>
      <w:r>
        <w:t xml:space="preserve"> </w:t>
      </w:r>
      <w:r>
        <w:rPr>
          <w:iCs/>
          <w:i/>
        </w:rPr>
        <w:t xml:space="preserve">Myanmar Yangon</w:t>
      </w:r>
      <w:r>
        <w:t xml:space="preserve">. The Social Worker acts as a bridge, framing psychological support through community well-being and family harmony rather than clinical pathology. Observations show that when the Social Worker utilizes culturally resonant language, engagement rates increase by approximately 40% compared to clinical terminology.</w:t>
      </w:r>
    </w:p>
    <w:bookmarkEnd w:id="24"/>
    <w:bookmarkStart w:id="25" w:name="resource-brokerage"/>
    <w:p>
      <w:pPr>
        <w:pStyle w:val="Heading3"/>
      </w:pPr>
      <w:r>
        <w:t xml:space="preserve">3.3 Resource Brokerage</w:t>
      </w:r>
    </w:p>
    <w:p>
      <w:pPr>
        <w:pStyle w:val="FirstParagraph"/>
      </w:pPr>
      <w:r>
        <w:t xml:space="preserve">A critical function identified is resource brokerage. The Social Worker does not always provide aid directly but connects beneficiaries with informal networks, religious institutions (*Kyaungs*), and international NGOs operating in the city. This network mapping is essential for sustaining support in</w:t>
      </w:r>
      <w:r>
        <w:t xml:space="preserve"> </w:t>
      </w:r>
      <w:r>
        <w:rPr>
          <w:iCs/>
          <w:i/>
        </w:rPr>
        <w:t xml:space="preserve">Myanmar Yangon</w:t>
      </w:r>
      <w:r>
        <w:t xml:space="preserve">.</w:t>
      </w:r>
    </w:p>
    <w:bookmarkEnd w:id="25"/>
    <w:bookmarkStart w:id="26" w:name="Xa2e5139c00e7c22284ee781acb421e1e5d2b786"/>
    <w:p>
      <w:pPr>
        <w:pStyle w:val="Heading3"/>
      </w:pPr>
      <w:r>
        <w:t xml:space="preserve">Data Table: Service Delivery Metrics (Simulated)</w:t>
      </w:r>
    </w:p>
    <w:p>
      <w:pPr>
        <w:pStyle w:val="FirstParagraph"/>
      </w:pPr>
      <w:r>
        <w:t xml:space="preserve">Metric</w:t>
      </w:r>
    </w:p>
    <w:bookmarkEnd w:id="26"/>
    <w:bookmarkEnd w:id="27"/>
    <w:p>
      <w:pPr>
        <w:pStyle w:val="BodyText"/>
      </w:pPr>
      <w:r>
        <w:t xml:space="preserve">&gt;Social Worker Intervention in Yangon (N=50 Cases)</w:t>
      </w:r>
    </w:p>
    <w:bookmarkStart w:id="28" w:name="section"/>
    <w:p>
      <w:pPr>
        <w:pStyle w:val="Heading2"/>
      </w:pPr>
    </w:p>
    <w:bookmarkEnd w:id="28"/>
    <w:bookmarkStart w:id="30" w:name="section-1"/>
    <w:p>
      <w:pPr>
        <w:pStyle w:val="Heading2"/>
      </w:pPr>
    </w:p>
    <w:bookmarkStart w:id="29" w:name="case-type"/>
    <w:p>
      <w:pPr>
        <w:pStyle w:val="Heading3"/>
      </w:pPr>
      <w:r>
        <w:t xml:space="preserve">Case Type</w:t>
      </w:r>
    </w:p>
    <w:bookmarkEnd w:id="29"/>
    <w:bookmarkEnd w:id="30"/>
    <w:p>
      <w:pPr>
        <w:pStyle w:val="FirstParagraph"/>
      </w:pPr>
      <w:r>
        <w:t xml:space="preserve">Avg. Resolution Time</w:t>
      </w:r>
    </w:p>
    <w:p>
      <w:pPr>
        <w:pStyle w:val="BodyText"/>
      </w:pPr>
      <w:r>
        <w:t xml:space="preserve">Satisfaction Rate</w:t>
      </w:r>
    </w:p>
    <w:p>
      <w:pPr>
        <w:pStyle w:val="BodyText"/>
      </w:pPr>
      <w:r>
        <w:t xml:space="preserve">Economic Crisis/Food Security</w:t>
      </w:r>
    </w:p>
    <w:p>
      <w:pPr>
        <w:pStyle w:val="BodyText"/>
      </w:pPr>
      <w:r>
        <w:t xml:space="preserve">Daily (Ongoing)</w:t>
      </w:r>
    </w:p>
    <w:p>
      <w:pPr>
        <w:pStyle w:val="BodyText"/>
      </w:pPr>
      <w:r>
        <w:t xml:space="preserve">N/A (Needs Continuous Support)</w:t>
      </w:r>
    </w:p>
    <w:p>
      <w:pPr>
        <w:pStyle w:val="BodyText"/>
      </w:pPr>
      <w:r>
        <w:t xml:space="preserve">Trauma &amp; Displacement CounselingChild Protection Cases</w:t>
      </w:r>
    </w:p>
    <w:bookmarkStart w:id="32" w:name="section-2"/>
    <w:p>
      <w:pPr>
        <w:pStyle w:val="Heading2"/>
      </w:pPr>
    </w:p>
    <w:bookmarkStart w:id="31" w:name="results-and-discussion"/>
    <w:p>
      <w:pPr>
        <w:pStyle w:val="Heading3"/>
      </w:pPr>
      <w:r>
        <w:t xml:space="preserve">Results and Discussion</w:t>
      </w:r>
    </w:p>
    <w:p>
      <w:pPr>
        <w:pStyle w:val="FirstParagraph"/>
      </w:pPr>
      <w:r>
        <w:rPr>
          <w:bCs/>
          <w:b/>
        </w:rPr>
        <w:t xml:space="preserve">The Efficacy of Localized Social Work</w:t>
      </w:r>
    </w:p>
    <w:p>
      <w:pPr>
        <w:pStyle w:val="BodyText"/>
      </w:pPr>
      <w:r>
        <w:t xml:space="preserve">The data suggests that the traditional "Lab Report" model of linear progress does not apply to</w:t>
      </w:r>
      <w:r>
        <w:t xml:space="preserve"> </w:t>
      </w:r>
      <w:r>
        <w:rPr>
          <w:iCs/>
          <w:i/>
        </w:rPr>
        <w:t xml:space="preserve">Myanmar Yangon</w:t>
      </w:r>
      <w:r>
        <w:t xml:space="preserve">. Instead, a cyclical model of support is required. The Social Worker must frequently re-assess needs as the economic situation in</w:t>
      </w:r>
      <w:r>
        <w:t xml:space="preserve"> </w:t>
      </w:r>
      <w:r>
        <w:rPr>
          <w:iCs/>
          <w:i/>
        </w:rPr>
        <w:t xml:space="preserve">Myanmar Yangon</w:t>
      </w:r>
      <w:r>
        <w:t xml:space="preserve"> </w:t>
      </w:r>
      <w:r>
        <w:t xml:space="preserve">fluctuates.</w:t>
      </w:r>
    </w:p>
    <w:p>
      <w:pPr>
        <w:pStyle w:val="BodyText"/>
      </w:pPr>
      <w:r>
        <w:rPr>
          <w:bCs/>
          <w:b/>
        </w:rPr>
        <w:t xml:space="preserve">Burnout and Safety:</w:t>
      </w:r>
    </w:p>
    <w:p>
      <w:pPr>
        <w:pStyle w:val="BodyText"/>
      </w:pPr>
      <w:r>
        <w:t xml:space="preserve">A significant finding is the high rate of secondary traumatic stress among Social Workers in this region. Operating within</w:t>
      </w:r>
      <w:r>
        <w:t xml:space="preserve"> </w:t>
      </w:r>
      <w:r>
        <w:rPr>
          <w:iCs/>
          <w:i/>
        </w:rPr>
        <w:t xml:space="preserve">My Myanmar Yangon</w:t>
      </w:r>
      <w:r>
        <w:t xml:space="preserve">, where legal protections for civil servants are tenuous, requires robust peer-support systems. The report recommends that all Social Worker teams in</w:t>
      </w:r>
      <w:r>
        <w:t xml:space="preserve"> </w:t>
      </w:r>
      <w:r>
        <w:rPr>
          <w:iCs/>
          <w:i/>
        </w:rPr>
        <w:t xml:space="preserve">Myanmar Yangon</w:t>
      </w:r>
      <w:r>
        <w:t xml:space="preserve"> </w:t>
      </w:r>
      <w:r>
        <w:t xml:space="preserve">operate in pairs or small units to ensure safety and emotional resilience.</w:t>
      </w:r>
    </w:p>
    <w:p>
      <w:pPr>
        <w:pStyle w:val="BodyText"/>
      </w:pPr>
      <w:r>
        <w:rPr>
          <w:bCs/>
          <w:b/>
        </w:rPr>
        <w:t xml:space="preserve">Cultural Integration:</w:t>
      </w:r>
    </w:p>
    <w:p>
      <w:pPr>
        <w:pStyle w:val="BodyText"/>
      </w:pPr>
      <w:r>
        <w:t xml:space="preserve">The most successful interventions were those where the Social Worker demonstrated a deep understanding of *Karma* and merit-making concepts. By aligning social aid with religious duties, the Social Worker gains community trust, which is the currency of effective practice in</w:t>
      </w:r>
      <w:r>
        <w:t xml:space="preserve"> </w:t>
      </w:r>
      <w:r>
        <w:rPr>
          <w:iCs/>
          <w:i/>
        </w:rPr>
        <w:t xml:space="preserve">Myanmar Yangon</w:t>
      </w:r>
      <w:r>
        <w:t xml:space="preserve">.</w:t>
      </w:r>
    </w:p>
    <w:p>
      <w:pPr>
        <w:pStyle w:val="BodyText"/>
      </w:pPr>
      <w:r>
        <w:t xml:space="preserve">5. Recommendations for Future Protocols</w:t>
      </w:r>
    </w:p>
    <w:p>
      <w:pPr>
        <w:pStyle w:val="BodyText"/>
      </w:pPr>
      <w:r>
        <w:t xml:space="preserve">To enhance the efficacy of Social Workers in</w:t>
      </w:r>
      <w:r>
        <w:t xml:space="preserve"> </w:t>
      </w:r>
      <w:r>
        <w:rPr>
          <w:iCs/>
          <w:i/>
        </w:rPr>
        <w:t xml:space="preserve">Myanmar Yangon</w:t>
      </w:r>
      <w:r>
        <w:t xml:space="preserve">, this Lab Report proposes the following adjustments to standard operating procedures:</w:t>
      </w:r>
    </w:p>
    <w:p>
      <w:pPr>
        <w:numPr>
          <w:ilvl w:val="0"/>
          <w:numId w:val="1002"/>
        </w:numPr>
        <w:pStyle w:val="Compact"/>
      </w:pPr>
      <w:r>
        <w:t xml:space="preserve">Mandatory Training on Digital Security: Given internet shutdowns, Social Workers must be trained in offline data management and secure communication.</w:t>
      </w:r>
    </w:p>
    <w:p>
      <w:pPr>
        <w:numPr>
          <w:ilvl w:val="0"/>
          <w:numId w:val="1002"/>
        </w:numPr>
        <w:pStyle w:val="Compact"/>
      </w:pPr>
      <w:r>
        <w:t xml:space="preserve">Decentralized Service Nodes: Instead of central offices in downtown Yangon, establish micro-clinics in residential townships to reduce travel risks and costs for beneficiaries.</w:t>
      </w:r>
    </w:p>
    <w:p>
      <w:pPr>
        <w:numPr>
          <w:ilvl w:val="0"/>
          <w:numId w:val="1002"/>
        </w:numPr>
        <w:pStyle w:val="Compact"/>
      </w:pPr>
      <w:r>
        <w:t xml:space="preserve">Cultural Competency Modules: All incoming Social Workers must undergo intensive cultural immersion training specific to the dialects and customs of</w:t>
      </w:r>
      <w:r>
        <w:t xml:space="preserve"> </w:t>
      </w:r>
      <w:r>
        <w:rPr>
          <w:iCs/>
          <w:i/>
        </w:rPr>
        <w:t xml:space="preserve">Myanmar Yangon</w:t>
      </w:r>
      <w:r>
        <w:t xml:space="preserve">.</w:t>
      </w:r>
    </w:p>
    <w:p>
      <w:pPr>
        <w:pStyle w:val="FirstParagraph"/>
      </w:pPr>
      <w:r>
        <w:t xml:space="preserve">6. Conclusion</w:t>
      </w:r>
    </w:p>
    <w:p>
      <w:pPr>
        <w:pStyle w:val="BodyText"/>
      </w:pPr>
      <w:r>
        <w:t xml:space="preserve">This laboratory report confirms that the role of the Social Worker in</w:t>
      </w:r>
      <w:r>
        <w:t xml:space="preserve"> </w:t>
      </w:r>
      <w:r>
        <w:rPr>
          <w:iCs/>
          <w:i/>
        </w:rPr>
        <w:t xml:space="preserve">Myanmar Yangon</w:t>
      </w:r>
      <w:r>
        <w:t xml:space="preserve"> </w:t>
      </w:r>
      <w:r>
        <w:t xml:space="preserve">is one of the most critical yet vulnerable positions in civil society today. The challenges are immense, ranging from economic collapse to security threats. However, through adaptive methodologies that respect local culture and leverage community networks, Social Workers can provide indispensable support.</w:t>
      </w:r>
    </w:p>
    <w:p>
      <w:pPr>
        <w:pStyle w:val="BodyText"/>
      </w:pPr>
      <w:r>
        <w:t xml:space="preserve">The "Lab" environment of</w:t>
      </w:r>
      <w:r>
        <w:t xml:space="preserve"> </w:t>
      </w:r>
      <w:r>
        <w:rPr>
          <w:iCs/>
          <w:i/>
        </w:rPr>
        <w:t xml:space="preserve">Myanmar Yangon</w:t>
      </w:r>
      <w:r>
        <w:t xml:space="preserve"> </w:t>
      </w:r>
      <w:r>
        <w:t xml:space="preserve">tests the limits of traditional social work theories. It requires a hybrid approach: part clinician, part activist, and part community elder. Only by acknowledging these specific contextual factors can we ensure that interventions are not only delivered but received effectively.</w:t>
      </w:r>
    </w:p>
    <w:p>
      <w:pPr>
        <w:pStyle w:val="BodyText"/>
      </w:pPr>
      <w:r>
        <w:t xml:space="preserve">In conclusion, the sustained support of Social Workers is not just an operational necessity for</w:t>
      </w:r>
      <w:r>
        <w:t xml:space="preserve"> </w:t>
      </w:r>
      <w:r>
        <w:rPr>
          <w:iCs/>
          <w:i/>
        </w:rPr>
        <w:t xml:space="preserve">Myanmar Yangon</w:t>
      </w:r>
      <w:r>
        <w:t xml:space="preserve">; it is a humanitarian imperative. Future research should focus on longitudinal studies to track the long-term psychological recovery of beneficiaries assisted by these professionals over a five-year period.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Worker Implementation in Myanmar Yangon</dc:title>
  <dc:creator/>
  <dc:language>en</dc:language>
  <cp:keywords/>
  <dcterms:created xsi:type="dcterms:W3CDTF">2026-07-29T11:36:21Z</dcterms:created>
  <dcterms:modified xsi:type="dcterms:W3CDTF">2026-07-29T11:36:21Z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