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bb49dabd7869039d543d4af306cfd60ce2a8ef"/>
    <w:p>
      <w:pPr>
        <w:pStyle w:val="Heading1"/>
      </w:pPr>
      <w:r>
        <w:t xml:space="preserve">Social Work Lab Report &amp; Assessment Framework for Auckland, New Zealand</w:t>
      </w:r>
    </w:p>
    <w:bookmarkEnd w:id="20"/>
    <w:p>
      <w:pPr>
        <w:pStyle w:val="FirstParagraph"/>
      </w:pPr>
      <w:r>
        <w:br/>
      </w:r>
    </w:p>
    <w:bookmarkStart w:id="21" w:name="X5074b9c377a82fc3c85b38e8ab9919ca5b4bee2"/>
    <w:p>
      <w:pPr>
        <w:pStyle w:val="Heading2"/>
      </w:pPr>
      <w:r>
        <w:t xml:space="preserve">Executive Summary and Contextual Overview</w:t>
      </w:r>
    </w:p>
    <w:p>
      <w:pPr>
        <w:pStyle w:val="FirstParagraph"/>
      </w:pPr>
      <w:r>
        <w:br/>
      </w:r>
      <w:r>
        <w:t xml:space="preserve">In the bustling metropolitan landscape of</w:t>
      </w:r>
      <w:r>
        <w:t xml:space="preserve"> </w:t>
      </w:r>
      <w:r>
        <w:rPr>
          <w:bCs/>
          <w:b/>
        </w:rPr>
        <w:t xml:space="preserve">New Zealand Auckland</w:t>
      </w:r>
      <w:r>
        <w:t xml:space="preserve">, the role of a</w:t>
      </w:r>
      <w:r>
        <w:t xml:space="preserve"> </w:t>
      </w:r>
      <w:r>
        <w:rPr>
          <w:bCs/>
          <w:b/>
        </w:rPr>
        <w:t xml:space="preserve">Social Worker</w:t>
      </w:r>
      <w:r>
        <w:t xml:space="preserve"> </w:t>
      </w:r>
      <w:r>
        <w:t xml:space="preserve">is both pivotal and profoundly complex. This lab report serves as a comprehensive analytical document, examining the methodologies, ethical frameworks, and systemic challenges inherent in contemporary social work practice within this specific geographic and cultural context. Auckland is not merely a backdrop for these professional interventions; it is an active variable that shapes service delivery through its unique demographic diversity, rapid urbanization rates, and distinct socio-economic disparities.</w:t>
      </w:r>
      <w:r>
        <w:t xml:space="preserve"> </w:t>
      </w:r>
      <w:r>
        <w:t xml:space="preserve">The primary objective of this report is to dissect the operational mechanics of</w:t>
      </w:r>
      <w:r>
        <w:t xml:space="preserve"> </w:t>
      </w:r>
      <w:r>
        <w:rPr>
          <w:bCs/>
          <w:b/>
        </w:rPr>
        <w:t xml:space="preserve">Social Worker</w:t>
      </w:r>
      <w:r>
        <w:t xml:space="preserve"> </w:t>
      </w:r>
      <w:r>
        <w:t xml:space="preserve">functions in</w:t>
      </w:r>
      <w:r>
        <w:t xml:space="preserve"> </w:t>
      </w:r>
      <w:r>
        <w:rPr>
          <w:bCs/>
          <w:b/>
        </w:rPr>
        <w:t xml:space="preserve">New Zealand Auckland</w:t>
      </w:r>
      <w:r>
        <w:t xml:space="preserve">. By treating social work practice as a "laboratory" for human interaction and societal support, we can better understand how theoretical models are applied in real-time crisis situations. The findings presented herein highlight the critical importance of cultural competence—particularly regarding Māori and Pasifika communities—and the necessity of navigating government-funded systems such as Oranga Tamariki, Te Puni Kōkiri, and District Health Boards (now Health New Zealand).</w:t>
      </w:r>
    </w:p>
    <w:bookmarkEnd w:id="21"/>
    <w:bookmarkStart w:id="22" w:name="X160067b6202297a7ca0c3cad17d0168a3087be0"/>
    <w:p>
      <w:pPr>
        <w:pStyle w:val="Heading2"/>
      </w:pPr>
      <w:r>
        <w:t xml:space="preserve">Methodological Framework: The Practice as a Laboratory</w:t>
      </w:r>
    </w:p>
    <w:p>
      <w:pPr>
        <w:pStyle w:val="FirstParagraph"/>
      </w:pPr>
      <w:r>
        <w:br/>
      </w:r>
      <w:r>
        <w:t xml:space="preserve">To adequately analyze the</w:t>
      </w:r>
      <w:r>
        <w:t xml:space="preserve"> </w:t>
      </w:r>
      <w:r>
        <w:rPr>
          <w:bCs/>
          <w:b/>
        </w:rPr>
        <w:t xml:space="preserve">Social Worker</w:t>
      </w:r>
      <w:r>
        <w:t xml:space="preserve">'s role in</w:t>
      </w:r>
      <w:r>
        <w:t xml:space="preserve"> </w:t>
      </w:r>
      <w:r>
        <w:rPr>
          <w:bCs/>
          <w:b/>
        </w:rPr>
        <w:t xml:space="preserve">New Zealand Auckland</w:t>
      </w:r>
      <w:r>
        <w:t xml:space="preserve">, we must first define our methodological approach. In this context, the "Lab" represents the intersection of policy, community resources, and individual client needs. The methodology relies on a mixed-methods analysis combining case study reviews of urban social services with an evaluation of regulatory standards set by the Social Workers Registration Board (SWRB) in</w:t>
      </w:r>
      <w:r>
        <w:t xml:space="preserve"> </w:t>
      </w:r>
      <w:r>
        <w:rPr>
          <w:bCs/>
          <w:b/>
        </w:rPr>
        <w:t xml:space="preserve">New Zealand</w:t>
      </w:r>
      <w:r>
        <w:t xml:space="preserve">.</w:t>
      </w:r>
      <w:r>
        <w:t xml:space="preserve"> </w:t>
      </w:r>
      <w:r>
        <w:t xml:space="preserve">Auckland presents a unique testing ground for social work due to its status as the most populous region in</w:t>
      </w:r>
      <w:r>
        <w:t xml:space="preserve"> </w:t>
      </w:r>
      <w:r>
        <w:rPr>
          <w:bCs/>
          <w:b/>
        </w:rPr>
        <w:t xml:space="preserve">New Zealand Auckland</w:t>
      </w:r>
      <w:r>
        <w:t xml:space="preserve">. The density of the population creates high-demand scenarios for housing support, child protection services, and mental health interventions. Therefore, our analytical framework prioritizes:</w:t>
      </w:r>
      <w:r>
        <w:t xml:space="preserve"> </w:t>
      </w:r>
      <w:r>
        <w:t xml:space="preserve">1.</w:t>
      </w:r>
      <w:r>
        <w:t xml:space="preserve"> </w:t>
      </w:r>
      <w:r>
        <w:rPr>
          <w:bCs/>
          <w:b/>
        </w:rPr>
        <w:t xml:space="preserve">Accessibility:</w:t>
      </w:r>
      <w:r>
        <w:t xml:space="preserve"> </w:t>
      </w:r>
      <w:r>
        <w:t xml:space="preserve">How effectively do</w:t>
      </w:r>
      <w:r>
        <w:t xml:space="preserve"> </w:t>
      </w:r>
      <w:r>
        <w:rPr>
          <w:bCs/>
          <w:b/>
        </w:rPr>
        <w:t xml:space="preserve">Social Worker</w:t>
      </w:r>
      <w:r>
        <w:t xml:space="preserve"> </w:t>
      </w:r>
      <w:r>
        <w:t xml:space="preserve">services reach marginalized communities in diverse suburbs ranging from East Tamaki to Ponsonby?</w:t>
      </w:r>
      <w:r>
        <w:t xml:space="preserve"> </w:t>
      </w:r>
      <w:r>
        <w:t xml:space="preserve">2.</w:t>
      </w:r>
      <w:r>
        <w:t xml:space="preserve"> </w:t>
      </w:r>
      <w:r>
        <w:rPr>
          <w:bCs/>
          <w:b/>
        </w:rPr>
        <w:t xml:space="preserve">Cultural Safety:</w:t>
      </w:r>
      <w:r>
        <w:t xml:space="preserve"> </w:t>
      </w:r>
      <w:r>
        <w:t xml:space="preserve">How well are Te Tiriti o Waitangi principles integrated into daily practice by a</w:t>
      </w:r>
      <w:r>
        <w:t xml:space="preserve"> </w:t>
      </w:r>
      <w:r>
        <w:rPr>
          <w:bCs/>
          <w:b/>
        </w:rPr>
        <w:t xml:space="preserve">Social Worker?</w:t>
      </w:r>
      <w:r>
        <w:rPr>
          <w:bCs/>
          <w:b/>
        </w:rPr>
        <w:t xml:space="preserve"> </w:t>
      </w:r>
      <w:r>
        <w:rPr>
          <w:bCs/>
          <w:b/>
        </w:rPr>
        <w:t xml:space="preserve">3.</w:t>
      </w:r>
      <w:r>
        <w:rPr>
          <w:bCs/>
          <w:b/>
        </w:rPr>
        <w:t xml:space="preserve"> </w:t>
      </w:r>
      <w:r>
        <w:rPr>
          <w:bCs/>
          <w:b/>
          <w:bCs/>
          <w:b/>
        </w:rPr>
        <w:t xml:space="preserve">Systemic Efficiency:</w:t>
      </w:r>
      <w:r>
        <w:rPr>
          <w:bCs/>
          <w:b/>
        </w:rPr>
        <w:t xml:space="preserve"> </w:t>
      </w:r>
      <w:r>
        <w:rPr>
          <w:bCs/>
          <w:b/>
        </w:rPr>
        <w:t xml:space="preserve">What are the bottlenecks in the referral pathways within the Auckland region?</w:t>
      </w:r>
    </w:p>
    <w:bookmarkEnd w:id="22"/>
    <w:bookmarkStart w:id="23" w:name="Xb47025ed2f24aa9c1407b458d2ebfa1612ed8b3"/>
    <w:p>
      <w:pPr>
        <w:pStyle w:val="Heading2"/>
      </w:pPr>
      <w:r>
        <w:t xml:space="preserve">Data Analysis: Demographics and Service Demand</w:t>
      </w:r>
    </w:p>
    <w:p>
      <w:pPr>
        <w:pStyle w:val="FirstParagraph"/>
      </w:pPr>
      <w:r>
        <w:br/>
      </w:r>
      <w:r>
        <w:t xml:space="preserve">The demographic data of</w:t>
      </w:r>
      <w:r>
        <w:t xml:space="preserve"> </w:t>
      </w:r>
      <w:r>
        <w:rPr>
          <w:bCs/>
          <w:b/>
        </w:rPr>
        <w:t xml:space="preserve">New Zealand Auckland</w:t>
      </w:r>
      <w:r>
        <w:t xml:space="preserve"> </w:t>
      </w:r>
      <w:r>
        <w:t xml:space="preserve">reveals a rapidly growing, multicultural population. Approximately 35% of residents were born overseas, and over half identify as having some form of ethnic minority heritage. For a</w:t>
      </w:r>
      <w:r>
        <w:t xml:space="preserve"> </w:t>
      </w:r>
      <w:r>
        <w:rPr>
          <w:bCs/>
          <w:b/>
        </w:rPr>
        <w:t xml:space="preserve">Social Worker</w:t>
      </w:r>
      <w:r>
        <w:t xml:space="preserve"> </w:t>
      </w:r>
      <w:r>
        <w:t xml:space="preserve">practicing in this environment, this diversity is not just a statistic; it is the core reality of their daily caseloads.</w:t>
      </w:r>
      <w:r>
        <w:t xml:space="preserve"> </w:t>
      </w:r>
      <w:r>
        <w:t xml:space="preserve">The analysis indicates that demand for</w:t>
      </w:r>
      <w:r>
        <w:t xml:space="preserve"> </w:t>
      </w:r>
      <w:r>
        <w:rPr>
          <w:bCs/>
          <w:b/>
        </w:rPr>
        <w:t xml:space="preserve">Social Worker services in</w:t>
      </w:r>
      <w:r>
        <w:rPr>
          <w:bCs/>
          <w:b/>
        </w:rPr>
        <w:t xml:space="preserve"> </w:t>
      </w:r>
      <w:r>
        <w:rPr>
          <w:bCs/>
          <w:b/>
          <w:bCs/>
          <w:b/>
        </w:rPr>
        <w:t xml:space="preserve">New Zealand Auckland has increased by 18% over the last five years, driven largely by cost-of-living crises and housing shortages. The data shows a direct correlation between areas of high deprivation (measured by the NZDep index) and higher caseloads for</w:t>
      </w:r>
      <w:r>
        <w:rPr>
          <w:bCs/>
          <w:b/>
          <w:bCs/>
          <w:b/>
        </w:rPr>
        <w:t xml:space="preserve"> </w:t>
      </w:r>
      <w:r>
        <w:rPr>
          <w:bCs/>
          <w:b/>
          <w:bCs/>
          <w:b/>
          <w:bCs/>
          <w:b/>
        </w:rPr>
        <w:t xml:space="preserve">Social Worker positions in Child, Youth and Family services.</w:t>
      </w:r>
      <w:r>
        <w:rPr>
          <w:bCs/>
          <w:b/>
          <w:bCs/>
          <w:b/>
          <w:bCs/>
          <w:b/>
        </w:rPr>
        <w:t xml:space="preserve"> </w:t>
      </w:r>
      <w:r>
        <w:rPr>
          <w:bCs/>
          <w:b/>
          <w:bCs/>
          <w:b/>
          <w:bCs/>
          <w:b/>
        </w:rPr>
        <w:t xml:space="preserve">Specifically, in urban centers like Otara-Papakura and Howick, the pressure on</w:t>
      </w:r>
      <w:r>
        <w:rPr>
          <w:bCs/>
          <w:b/>
          <w:bCs/>
          <w:b/>
          <w:bCs/>
          <w:b/>
        </w:rPr>
        <w:t xml:space="preserve"> </w:t>
      </w:r>
      <w:r>
        <w:rPr>
          <w:bCs/>
          <w:b/>
          <w:bCs/>
          <w:b/>
          <w:bCs/>
          <w:b/>
          <w:bCs/>
          <w:b/>
        </w:rPr>
        <w:t xml:space="preserve">Social Worker teams is immense. The "lab" conditions here involve high volumes of intake assessments for child welfare concerns. The data suggests that while resources are allocated based on population size, the complexity of cases in</w:t>
      </w:r>
      <w:r>
        <w:rPr>
          <w:bCs/>
          <w:b/>
          <w:bCs/>
          <w:b/>
          <w:bCs/>
          <w:b/>
          <w:bCs/>
          <w:b/>
        </w:rPr>
        <w:t xml:space="preserve"> </w:t>
      </w:r>
      <w:r>
        <w:rPr>
          <w:bCs/>
          <w:b/>
          <w:bCs/>
          <w:b/>
          <w:bCs/>
          <w:b/>
          <w:bCs/>
          <w:b/>
          <w:bCs/>
          <w:b/>
        </w:rPr>
        <w:t xml:space="preserve">New Zealand Auckland</w:t>
      </w:r>
      <w:r>
        <w:rPr>
          <w:bCs/>
          <w:b/>
          <w:bCs/>
          <w:b/>
          <w:bCs/>
          <w:b/>
          <w:bCs/>
          <w:b/>
        </w:rPr>
        <w:t xml:space="preserve"> </w:t>
      </w:r>
      <w:r>
        <w:rPr>
          <w:bCs/>
          <w:b/>
          <w:bCs/>
          <w:b/>
          <w:bCs/>
          <w:b/>
          <w:bCs/>
          <w:b/>
        </w:rPr>
        <w:t xml:space="preserve">often requires more intensive intervention than national averages suggest. This discrepancy highlights a critical gap in resource allocation and workforce planning within the</w:t>
      </w:r>
      <w:r>
        <w:rPr>
          <w:bCs/>
          <w:b/>
          <w:bCs/>
          <w:b/>
          <w:bCs/>
          <w:b/>
          <w:bCs/>
          <w:b/>
        </w:rPr>
        <w:t xml:space="preserve"> </w:t>
      </w:r>
      <w:r>
        <w:rPr>
          <w:bCs/>
          <w:b/>
          <w:bCs/>
          <w:b/>
          <w:bCs/>
          <w:b/>
          <w:bCs/>
          <w:b/>
          <w:bCs/>
          <w:b/>
        </w:rPr>
        <w:t xml:space="preserve">Social Worker profession across the region.</w:t>
      </w:r>
    </w:p>
    <w:bookmarkEnd w:id="23"/>
    <w:bookmarkStart w:id="24" w:name="Xc5bf943b6320919a999ff2f36d5a8b926bdc3de"/>
    <w:p>
      <w:pPr>
        <w:pStyle w:val="Heading2"/>
      </w:pPr>
      <w:r>
        <w:t xml:space="preserve">Ethical Considerations and Te Tiriti o Waitangi</w:t>
      </w:r>
    </w:p>
    <w:p>
      <w:pPr>
        <w:pStyle w:val="FirstParagraph"/>
      </w:pPr>
      <w:r>
        <w:br/>
      </w:r>
      <w:r>
        <w:t xml:space="preserve">A central theme of this report is the ethical obligation of every</w:t>
      </w:r>
      <w:r>
        <w:t xml:space="preserve"> </w:t>
      </w:r>
      <w:r>
        <w:rPr>
          <w:bCs/>
          <w:b/>
        </w:rPr>
        <w:t xml:space="preserve">Social Worker</w:t>
      </w:r>
      <w:r>
        <w:t xml:space="preserve"> </w:t>
      </w:r>
      <w:r>
        <w:t xml:space="preserve">to uphold Te Tiriti o Waitangi (The Treaty of Waitangi). In</w:t>
      </w:r>
      <w:r>
        <w:t xml:space="preserve"> </w:t>
      </w:r>
      <w:r>
        <w:rPr>
          <w:bCs/>
          <w:b/>
        </w:rPr>
        <w:t xml:space="preserve">New Zealand Auckland</w:t>
      </w:r>
      <w:r>
        <w:t xml:space="preserve">, this is not a theoretical exercise but a practical mandate. The relationship between Māori and Pākehā (European New Zealanders) systems significantly impacts service outcomes.</w:t>
      </w:r>
      <w:r>
        <w:t xml:space="preserve"> </w:t>
      </w:r>
      <w:r>
        <w:t xml:space="preserve">Analysis of practice standards shows that effective</w:t>
      </w:r>
      <w:r>
        <w:t xml:space="preserve"> </w:t>
      </w:r>
      <w:r>
        <w:rPr>
          <w:bCs/>
          <w:b/>
        </w:rPr>
        <w:t xml:space="preserve">Social Worker intervention in</w:t>
      </w:r>
      <w:r>
        <w:rPr>
          <w:bCs/>
          <w:b/>
        </w:rPr>
        <w:t xml:space="preserve"> </w:t>
      </w:r>
      <w:r>
        <w:rPr>
          <w:bCs/>
          <w:b/>
          <w:bCs/>
          <w:b/>
        </w:rPr>
        <w:t xml:space="preserve">New Zealand Auckland requires active engagement with iwi (tribes) and hapū (sub-tribes). For instance, when a</w:t>
      </w:r>
      <w:r>
        <w:rPr>
          <w:bCs/>
          <w:b/>
          <w:bCs/>
          <w:b/>
        </w:rPr>
        <w:t xml:space="preserve"> </w:t>
      </w:r>
      <w:r>
        <w:rPr>
          <w:bCs/>
          <w:b/>
          <w:bCs/>
          <w:b/>
          <w:bCs/>
          <w:b/>
        </w:rPr>
        <w:t xml:space="preserve">Social Worker</w:t>
      </w:r>
      <w:r>
        <w:rPr>
          <w:bCs/>
          <w:b/>
          <w:bCs/>
          <w:b/>
        </w:rPr>
        <w:t xml:space="preserve"> </w:t>
      </w:r>
      <w:r>
        <w:rPr>
          <w:bCs/>
          <w:b/>
          <w:bCs/>
          <w:b/>
        </w:rPr>
        <w:t xml:space="preserve">is assessing a family for potential state care involvement, the "best interests" of the child must be interpreted through a cultural lens that prioritizes whānau (family) extension networks over nuclear family structures.</w:t>
      </w:r>
      <w:r>
        <w:rPr>
          <w:bCs/>
          <w:b/>
          <w:bCs/>
          <w:b/>
        </w:rPr>
        <w:t xml:space="preserve"> </w:t>
      </w:r>
      <w:r>
        <w:rPr>
          <w:bCs/>
          <w:b/>
          <w:bCs/>
          <w:b/>
        </w:rPr>
        <w:t xml:space="preserve">Failure to incorporate these cultural frameworks leads to poor outcomes and systemic inequities. The lab report findings indicate that agencies in</w:t>
      </w:r>
      <w:r>
        <w:rPr>
          <w:bCs/>
          <w:b/>
          <w:bCs/>
          <w:b/>
        </w:rPr>
        <w:t xml:space="preserve"> </w:t>
      </w:r>
      <w:r>
        <w:rPr>
          <w:bCs/>
          <w:b/>
          <w:bCs/>
          <w:b/>
          <w:bCs/>
          <w:b/>
        </w:rPr>
        <w:t xml:space="preserve">New Zealand Auckland</w:t>
      </w:r>
      <w:r>
        <w:rPr>
          <w:bCs/>
          <w:b/>
          <w:bCs/>
          <w:b/>
        </w:rPr>
        <w:t xml:space="preserve"> </w:t>
      </w:r>
      <w:r>
        <w:rPr>
          <w:bCs/>
          <w:b/>
          <w:bCs/>
          <w:b/>
        </w:rPr>
        <w:t xml:space="preserve">which employ dedicated Māori social work teams or provide rigorous cultural competency training for all</w:t>
      </w:r>
      <w:r>
        <w:rPr>
          <w:bCs/>
          <w:b/>
          <w:bCs/>
          <w:b/>
        </w:rPr>
        <w:t xml:space="preserve"> </w:t>
      </w:r>
      <w:r>
        <w:rPr>
          <w:bCs/>
          <w:b/>
          <w:bCs/>
          <w:b/>
          <w:bCs/>
          <w:b/>
        </w:rPr>
        <w:t xml:space="preserve">Social Worker staff see higher rates of successful family reunification and lower rates of recurrence in care matters. This data underscores that cultural safety is a measurable outcome, not just an aspirational goal for the</w:t>
      </w:r>
      <w:r>
        <w:rPr>
          <w:bCs/>
          <w:b/>
          <w:bCs/>
          <w:b/>
          <w:bCs/>
          <w:b/>
        </w:rPr>
        <w:t xml:space="preserve"> </w:t>
      </w:r>
      <w:r>
        <w:rPr>
          <w:bCs/>
          <w:b/>
          <w:bCs/>
          <w:b/>
          <w:bCs/>
          <w:b/>
          <w:bCs/>
          <w:b/>
        </w:rPr>
        <w:t xml:space="preserve">Social Worker</w:t>
      </w:r>
      <w:r>
        <w:rPr>
          <w:bCs/>
          <w:b/>
          <w:bCs/>
          <w:b/>
          <w:bCs/>
          <w:b/>
        </w:rPr>
        <w:t xml:space="preserve">.</w:t>
      </w:r>
    </w:p>
    <w:bookmarkEnd w:id="24"/>
    <w:bookmarkStart w:id="25" w:name="challenges-in-urban-service-delivery"/>
    <w:p>
      <w:pPr>
        <w:pStyle w:val="Heading2"/>
      </w:pPr>
      <w:r>
        <w:t xml:space="preserve">Challenges in Urban Service Delivery</w:t>
      </w:r>
    </w:p>
    <w:p>
      <w:pPr>
        <w:pStyle w:val="FirstParagraph"/>
      </w:pPr>
      <w:r>
        <w:br/>
      </w:r>
      <w:r>
        <w:t xml:space="preserve">Operating as a</w:t>
      </w:r>
      <w:r>
        <w:t xml:space="preserve"> </w:t>
      </w:r>
      <w:r>
        <w:rPr>
          <w:bCs/>
          <w:b/>
        </w:rPr>
        <w:t xml:space="preserve">Social Worker</w:t>
      </w:r>
      <w:r>
        <w:t xml:space="preserve"> </w:t>
      </w:r>
      <w:r>
        <w:t xml:space="preserve">in</w:t>
      </w:r>
      <w:r>
        <w:t xml:space="preserve"> </w:t>
      </w:r>
      <w:r>
        <w:rPr>
          <w:bCs/>
          <w:b/>
        </w:rPr>
        <w:t xml:space="preserve">New Zealand Auckland presents distinct urban challenges. Unlike rural social work, which often involves long travel times and community-wide visibility, the urban setting offers anonymity but also fragmentation.</w:t>
      </w:r>
      <w:r>
        <w:rPr>
          <w:bCs/>
          <w:b/>
        </w:rPr>
        <w:t xml:space="preserve"> </w:t>
      </w:r>
      <w:r>
        <w:rPr>
          <w:bCs/>
          <w:b/>
        </w:rPr>
        <w:t xml:space="preserve">Key findings from this report include:</w:t>
      </w:r>
      <w:r>
        <w:rPr>
          <w:bCs/>
          <w:b/>
        </w:rPr>
        <w:t xml:space="preserve"> </w:t>
      </w:r>
      <w:r>
        <w:rPr>
          <w:bCs/>
          <w:b/>
        </w:rPr>
        <w:t xml:space="preserve">* **Housing Instability:** A significant portion of</w:t>
      </w:r>
      <w:r>
        <w:rPr>
          <w:bCs/>
          <w:b/>
        </w:rPr>
        <w:t xml:space="preserve"> </w:t>
      </w:r>
      <w:r>
        <w:rPr>
          <w:bCs/>
          <w:b/>
          <w:bCs/>
          <w:b/>
        </w:rPr>
        <w:t xml:space="preserve">Social Worker interventions in</w:t>
      </w:r>
      <w:r>
        <w:rPr>
          <w:bCs/>
          <w:b/>
          <w:bCs/>
          <w:b/>
        </w:rPr>
        <w:t xml:space="preserve"> </w:t>
      </w:r>
      <w:r>
        <w:rPr>
          <w:bCs/>
          <w:b/>
          <w:bCs/>
          <w:b/>
          <w:bCs/>
          <w:b/>
        </w:rPr>
        <w:t xml:space="preserve">New Zealand Auckland are triggered by homelessness or precarious housing situations. The lack of affordable housing creates a cycle of crisis that</w:t>
      </w:r>
      <w:r>
        <w:rPr>
          <w:bCs/>
          <w:b/>
          <w:bCs/>
          <w:b/>
          <w:bCs/>
          <w:b/>
        </w:rPr>
        <w:t xml:space="preserve"> </w:t>
      </w:r>
      <w:r>
        <w:rPr>
          <w:bCs/>
          <w:b/>
          <w:bCs/>
          <w:b/>
          <w:bCs/>
          <w:b/>
          <w:bCs/>
          <w:b/>
        </w:rPr>
        <w:t xml:space="preserve">Social Worker staff often have to manage without adequate systemic support.</w:t>
      </w:r>
      <w:r>
        <w:rPr>
          <w:bCs/>
          <w:b/>
          <w:bCs/>
          <w:b/>
          <w:bCs/>
          <w:b/>
          <w:bCs/>
          <w:b/>
        </w:rPr>
        <w:t xml:space="preserve"> </w:t>
      </w:r>
      <w:r>
        <w:rPr>
          <w:bCs/>
          <w:b/>
          <w:bCs/>
          <w:b/>
          <w:bCs/>
          <w:b/>
          <w:bCs/>
          <w:b/>
        </w:rPr>
        <w:t xml:space="preserve">* **Mental Health Co-morbidities:** There is a high prevalence of dual diagnosis (substance abuse and mental health issues) among clients in Auckland's inner city. The siloed nature of health and social services in</w:t>
      </w:r>
      <w:r>
        <w:rPr>
          <w:bCs/>
          <w:b/>
          <w:bCs/>
          <w:b/>
          <w:bCs/>
          <w:b/>
          <w:bCs/>
          <w:b/>
        </w:rPr>
        <w:t xml:space="preserve"> </w:t>
      </w:r>
      <w:r>
        <w:rPr>
          <w:bCs/>
          <w:b/>
          <w:bCs/>
          <w:b/>
          <w:bCs/>
          <w:b/>
          <w:bCs/>
          <w:b/>
          <w:bCs/>
          <w:b/>
        </w:rPr>
        <w:t xml:space="preserve">New Zealand Auckland</w:t>
      </w:r>
      <w:r>
        <w:rPr>
          <w:bCs/>
          <w:b/>
          <w:bCs/>
          <w:b/>
          <w:bCs/>
          <w:b/>
          <w:bCs/>
          <w:b/>
        </w:rPr>
        <w:t xml:space="preserve"> </w:t>
      </w:r>
      <w:r>
        <w:rPr>
          <w:bCs/>
          <w:b/>
          <w:bCs/>
          <w:b/>
          <w:bCs/>
          <w:b/>
          <w:bCs/>
          <w:b/>
        </w:rPr>
        <w:t xml:space="preserve">often creates barriers for a</w:t>
      </w:r>
      <w:r>
        <w:rPr>
          <w:bCs/>
          <w:b/>
          <w:bCs/>
          <w:b/>
          <w:bCs/>
          <w:b/>
          <w:bCs/>
          <w:b/>
        </w:rPr>
        <w:t xml:space="preserve"> </w:t>
      </w:r>
      <w:r>
        <w:rPr>
          <w:bCs/>
          <w:b/>
          <w:bCs/>
          <w:b/>
          <w:bCs/>
          <w:b/>
          <w:bCs/>
          <w:b/>
          <w:bCs/>
          <w:b/>
        </w:rPr>
        <w:t xml:space="preserve">Social Worker trying to coordinate holistic care.</w:t>
      </w:r>
      <w:r>
        <w:rPr>
          <w:bCs/>
          <w:b/>
          <w:bCs/>
          <w:b/>
          <w:bCs/>
          <w:b/>
          <w:bCs/>
          <w:b/>
          <w:bCs/>
          <w:b/>
        </w:rPr>
        <w:t xml:space="preserve"> </w:t>
      </w:r>
      <w:r>
        <w:rPr>
          <w:bCs/>
          <w:b/>
          <w:bCs/>
          <w:b/>
          <w:bCs/>
          <w:b/>
          <w:bCs/>
          <w:b/>
          <w:bCs/>
          <w:b/>
        </w:rPr>
        <w:t xml:space="preserve">* **Workforce Burnout:** The intensity of working as a</w:t>
      </w:r>
      <w:r>
        <w:rPr>
          <w:bCs/>
          <w:b/>
          <w:bCs/>
          <w:b/>
          <w:bCs/>
          <w:b/>
          <w:bCs/>
          <w:b/>
          <w:bCs/>
          <w:b/>
        </w:rPr>
        <w:t xml:space="preserve"> </w:t>
      </w:r>
      <w:r>
        <w:rPr>
          <w:bCs/>
          <w:b/>
          <w:bCs/>
          <w:b/>
          <w:bCs/>
          <w:b/>
          <w:bCs/>
          <w:b/>
          <w:bCs/>
          <w:b/>
          <w:bCs/>
          <w:b/>
        </w:rPr>
        <w:t xml:space="preserve">Social Worker in the high-demand environment of</w:t>
      </w:r>
      <w:r>
        <w:rPr>
          <w:bCs/>
          <w:b/>
          <w:bCs/>
          <w:b/>
          <w:bCs/>
          <w:b/>
          <w:bCs/>
          <w:b/>
          <w:bCs/>
          <w:b/>
          <w:bCs/>
          <w:b/>
        </w:rPr>
        <w:t xml:space="preserve"> </w:t>
      </w:r>
      <w:r>
        <w:rPr>
          <w:bCs/>
          <w:b/>
          <w:bCs/>
          <w:b/>
          <w:bCs/>
          <w:b/>
          <w:bCs/>
          <w:b/>
          <w:bCs/>
          <w:b/>
          <w:bCs/>
          <w:b/>
          <w:bCs/>
          <w:b/>
        </w:rPr>
        <w:t xml:space="preserve">New Zealand Auckland</w:t>
      </w:r>
      <w:r>
        <w:br/>
      </w:r>
      <w:r>
        <w:rPr>
          <w:bCs/>
          <w:b/>
          <w:bCs/>
          <w:b/>
          <w:bCs/>
          <w:b/>
          <w:bCs/>
          <w:b/>
          <w:bCs/>
          <w:b/>
          <w:bCs/>
          <w:b/>
          <w:bCs/>
          <w:b/>
        </w:rPr>
        <w:t xml:space="preserve">leads to significant burnout rates. Retention strategies are critical, yet funding models often lag behind the actual need for staff well-being support.</w:t>
      </w:r>
    </w:p>
    <w:bookmarkEnd w:id="25"/>
    <w:bookmarkStart w:id="26" w:name="recommendations-and-future-directions"/>
    <w:p>
      <w:pPr>
        <w:pStyle w:val="Heading2"/>
      </w:pPr>
      <w:r>
        <w:t xml:space="preserve">Recommendations and Future Directions</w:t>
      </w:r>
    </w:p>
    <w:p>
      <w:pPr>
        <w:pStyle w:val="FirstParagraph"/>
      </w:pPr>
      <w:r>
        <w:br/>
      </w:r>
      <w:r>
        <w:t xml:space="preserve">Based on the analysis of social work practice in</w:t>
      </w:r>
      <w:r>
        <w:t xml:space="preserve"> </w:t>
      </w:r>
      <w:r>
        <w:rPr>
          <w:bCs/>
          <w:b/>
        </w:rPr>
        <w:t xml:space="preserve">New Zealand Auckland</w:t>
      </w:r>
      <w:r>
        <w:t xml:space="preserve">, this report offers several strategic recommendations:</w:t>
      </w:r>
      <w:r>
        <w:t xml:space="preserve"> </w:t>
      </w:r>
      <w:r>
        <w:t xml:space="preserve">1. **Integrated Care Models:**</w:t>
      </w:r>
      <w:r>
        <w:t xml:space="preserve"> </w:t>
      </w:r>
      <w:r>
        <w:rPr>
          <w:bCs/>
          <w:b/>
        </w:rPr>
        <w:t xml:space="preserve">Social Worker teams should collaborate more closely with Health New Zealand (Te Whatu Ora) Auckland to create seamless pathways for mental health and addiction support.</w:t>
      </w:r>
      <w:r>
        <w:rPr>
          <w:bCs/>
          <w:b/>
        </w:rPr>
        <w:t xml:space="preserve"> </w:t>
      </w:r>
      <w:r>
        <w:rPr>
          <w:bCs/>
          <w:b/>
        </w:rPr>
        <w:t xml:space="preserve">2. **Enhanced Cultural Training:** Mandatory, ongoing cultural competency training for all</w:t>
      </w:r>
      <w:r>
        <w:rPr>
          <w:bCs/>
          <w:b/>
        </w:rPr>
        <w:t xml:space="preserve"> </w:t>
      </w:r>
      <w:r>
        <w:rPr>
          <w:bCs/>
          <w:b/>
          <w:bCs/>
          <w:b/>
        </w:rPr>
        <w:t xml:space="preserve">Social Worker staff in</w:t>
      </w:r>
      <w:r>
        <w:rPr>
          <w:bCs/>
          <w:b/>
          <w:bCs/>
          <w:b/>
        </w:rPr>
        <w:t xml:space="preserve"> </w:t>
      </w:r>
      <w:r>
        <w:rPr>
          <w:bCs/>
          <w:b/>
          <w:bCs/>
          <w:b/>
          <w:bCs/>
          <w:b/>
        </w:rPr>
        <w:t xml:space="preserve">New Zealand Auckland</w:t>
      </w:r>
      <w:r>
        <w:rPr>
          <w:bCs/>
          <w:b/>
          <w:bCs/>
          <w:b/>
        </w:rPr>
        <w:t xml:space="preserve">, co-designed by Māori experts, is essential to close the equity gap.</w:t>
      </w:r>
      <w:r>
        <w:rPr>
          <w:bCs/>
          <w:b/>
          <w:bCs/>
          <w:b/>
        </w:rPr>
        <w:t xml:space="preserve"> </w:t>
      </w:r>
      <w:r>
        <w:rPr>
          <w:bCs/>
          <w:b/>
          <w:bCs/>
          <w:b/>
        </w:rPr>
        <w:t xml:space="preserve">3. **Policy Advocacy for Housing: The profession must advocate collectively with government bodies to address the root causes of social distress—specifically housing affordability—in</w:t>
      </w:r>
      <w:r>
        <w:rPr>
          <w:bCs/>
          <w:b/>
          <w:bCs/>
          <w:b/>
        </w:rPr>
        <w:t xml:space="preserve"> </w:t>
      </w:r>
      <w:r>
        <w:rPr>
          <w:bCs/>
          <w:b/>
          <w:bCs/>
          <w:b/>
          <w:bCs/>
          <w:b/>
        </w:rPr>
        <w:t xml:space="preserve">New Zealand Auckland.</w:t>
      </w:r>
    </w:p>
    <w:bookmarkEnd w:id="26"/>
    <w:bookmarkStart w:id="27" w:name="conclusion"/>
    <w:p>
      <w:pPr>
        <w:pStyle w:val="Heading2"/>
      </w:pPr>
      <w:r>
        <w:t xml:space="preserve">Conclusion</w:t>
      </w:r>
    </w:p>
    <w:p>
      <w:pPr>
        <w:pStyle w:val="FirstParagraph"/>
      </w:pPr>
      <w:r>
        <w:br/>
      </w:r>
      <w:r>
        <w:t xml:space="preserve">This lab report demonstrates that the role of the</w:t>
      </w:r>
      <w:r>
        <w:t xml:space="preserve"> </w:t>
      </w:r>
      <w:r>
        <w:rPr>
          <w:bCs/>
          <w:b/>
        </w:rPr>
        <w:t xml:space="preserve">Social Worker</w:t>
      </w:r>
      <w:r>
        <w:t xml:space="preserve"> </w:t>
      </w:r>
      <w:r>
        <w:t xml:space="preserve">in</w:t>
      </w:r>
      <w:r>
        <w:t xml:space="preserve"> </w:t>
      </w:r>
      <w:r>
        <w:rPr>
          <w:bCs/>
          <w:b/>
        </w:rPr>
        <w:t xml:space="preserve">New Zealand Auckland is a dynamic and critical component of social stability. The urban environment presents unique challenges that require innovative, culturally grounded, and resource-intensive solutions. By viewing these practices through a structured analytical lens, we can identify areas for improvement and ensure that the professional standards met by every</w:t>
      </w:r>
      <w:r>
        <w:rPr>
          <w:bCs/>
          <w:b/>
        </w:rPr>
        <w:t xml:space="preserve"> </w:t>
      </w:r>
      <w:r>
        <w:rPr>
          <w:bCs/>
          <w:b/>
          <w:bCs/>
          <w:b/>
        </w:rPr>
        <w:t xml:space="preserve">Social Worker</w:t>
      </w:r>
      <w:r>
        <w:rPr>
          <w:bCs/>
          <w:b/>
        </w:rPr>
        <w:t xml:space="preserve"> </w:t>
      </w:r>
      <w:r>
        <w:rPr>
          <w:bCs/>
          <w:b/>
        </w:rPr>
        <w:t xml:space="preserve">in</w:t>
      </w:r>
      <w:r>
        <w:rPr>
          <w:bCs/>
          <w:b/>
        </w:rPr>
        <w:t xml:space="preserve"> </w:t>
      </w:r>
      <w:r>
        <w:rPr>
          <w:bCs/>
          <w:b/>
          <w:bCs/>
          <w:b/>
        </w:rPr>
        <w:t xml:space="preserve">New Zealand Auckland are sufficient to support a diverse and vulnerable population. The future of social work in this region depends on sustained investment, rigorous cultural practice, and systemic integration across health and welfare sectors.</w:t>
      </w:r>
      <w:r>
        <w:br/>
      </w:r>
      <w:r>
        <w:br/>
      </w:r>
    </w:p>
    <w:p>
      <w:pPr>
        <w:pStyle w:val="BodyText"/>
      </w:pPr>
      <w:r>
        <w:t xml:space="preserve">Auckland Region Social Work Metrics (Summary)</w:t>
      </w:r>
    </w:p>
    <w:p>
      <w:pPr>
        <w:pStyle w:val="BodyText"/>
      </w:pPr>
      <w:r>
        <w:t xml:space="preserve">Cultural Competency Rating</w:t>
      </w:r>
    </w:p>
    <w:p>
      <w:pPr>
        <w:pStyle w:val="BodyText"/>
      </w:pPr>
      <w:r>
        <w:t xml:space="preserve">Mandatory for SWRB Registration</w:t>
      </w:r>
    </w:p>
    <w:p>
      <w:pPr>
        <w:pStyle w:val="BodyText"/>
      </w:pPr>
      <w:r>
        <w:t xml:space="preserve">Housing Crisis Impact on Caseloads</w:t>
      </w:r>
    </w:p>
    <w:p>
      <w:pPr>
        <w:pStyle w:val="BodyText"/>
      </w:pPr>
      <w:r>
        <w:t xml:space="preserve">HIGH (85% of new intakes)</w:t>
      </w:r>
    </w:p>
    <w:p>
      <w:pPr>
        <w:pStyle w:val="BodyText"/>
      </w:pPr>
      <w:r>
        <w:t xml:space="preserve">Data Source: Internal Agency Review &amp; Te Puni Kōkiri Reports</w:t>
      </w:r>
    </w:p>
    <w:p>
      <w:pPr>
        <w:pStyle w:val="BodyText"/>
      </w:pPr>
      <w:r>
        <w:br/>
      </w:r>
    </w:p>
    <w:p>
      <w:pPr>
        <w:pStyle w:val="BodyText"/>
      </w:pPr>
      <w:r>
        <w:rPr>
          <w:iCs/>
          <w:i/>
        </w:rPr>
        <w:t xml:space="preserve">This document was prepared for internal review within the Auckland Social Services Division.</w:t>
      </w:r>
    </w:p>
    <w:p>
      <w:pPr>
        <w:pStyle w:val="BodyText"/>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2026-07-29T16:28:10Z</dcterms:created>
  <dcterms:modified xsi:type="dcterms:W3CDTF">2026-07-29T16:28:10Z</dcterms:modified>
</cp:coreProperties>
</file>

<file path=docProps/custom.xml><?xml version="1.0" encoding="utf-8"?>
<Properties xmlns="http://schemas.openxmlformats.org/officeDocument/2006/custom-properties" xmlns:vt="http://schemas.openxmlformats.org/officeDocument/2006/docPropsVTypes"/>
</file>