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Xadac3ae1828c238c5a94d36feff8269f7e3641e"/>
    <w:p>
      <w:pPr>
        <w:pStyle w:val="Heading1"/>
      </w:pPr>
      <w:r>
        <w:t xml:space="preserve">Laboratory Report on Social Work Practice Frameworks in New Zealand Wellington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Review</w:t>
      </w:r>
      <w:r>
        <w:br/>
      </w:r>
      <w:r>
        <w:rPr>
          <w:bCs/>
          <w:b/>
        </w:rPr>
        <w:t xml:space="preserve">Focused Region:</w:t>
      </w:r>
    </w:p>
    <w:bookmarkStart w:id="20" w:name="executive-summary"/>
    <w:p>
      <w:pPr>
        <w:pStyle w:val="Heading2"/>
      </w:pPr>
      <w:r>
        <w:t xml:space="preserve">1.0 Executive Summary</w:t>
      </w:r>
    </w:p>
    <w:p>
      <w:pPr>
        <w:pStyle w:val="FirstParagraph"/>
      </w:pPr>
      <w:r>
        <w:t xml:space="preserve">This document serves as a comprehensive laboratory report analyzing the operational, ethical, and structural dynamics of</w:t>
      </w:r>
      <w:r>
        <w:t xml:space="preserve"> </w:t>
      </w:r>
      <w:r>
        <w:rPr>
          <w:bCs/>
          <w:b/>
        </w:rPr>
        <w:t xml:space="preserve">Social Worker</w:t>
      </w:r>
      <w:r>
        <w:t xml:space="preserve"> </w:t>
      </w:r>
      <w:r>
        <w:t xml:space="preserve">practice within the specific geographic and cultural context of</w:t>
      </w:r>
      <w:r>
        <w:t xml:space="preserve"> </w:t>
      </w:r>
      <w:r>
        <w:rPr>
          <w:bCs/>
          <w:b/>
        </w:rPr>
        <w:t xml:space="preserve">New Zealand Wellington</w:t>
      </w:r>
      <w:r>
        <w:t xml:space="preserve">. The primary objective of this analysis is to evaluate how professional social work standards intersect with Te Tiriti o Waitangi obligations in an urban setting. By treating the urban landscape as a living laboratory, we examine the efficacy of current intervention models used by practitioners in Wellington.</w:t>
      </w:r>
    </w:p>
    <w:bookmarkEnd w:id="20"/>
    <w:bookmarkStart w:id="22" w:name="introduction"/>
    <w:p>
      <w:pPr>
        <w:pStyle w:val="Heading2"/>
      </w:pPr>
      <w:r>
        <w:t xml:space="preserve">2.0 Introduction</w:t>
      </w:r>
    </w:p>
    <w:p>
      <w:pPr>
        <w:pStyle w:val="FirstParagraph"/>
      </w:pPr>
      <w:r>
        <w:t xml:space="preserve">The role of a</w:t>
      </w:r>
      <w:r>
        <w:t xml:space="preserve"> </w:t>
      </w:r>
      <w:r>
        <w:rPr>
          <w:bCs/>
          <w:b/>
        </w:rPr>
        <w:t xml:space="preserve">Social Worker</w:t>
      </w:r>
      <w:r>
        <w:t xml:space="preserve"> </w:t>
      </w:r>
      <w:r>
        <w:t xml:space="preserve">is not merely administrative; it is deeply clinical, advocacy-based, and community-oriented. In the context of</w:t>
      </w:r>
      <w:r>
        <w:t xml:space="preserve"> </w:t>
      </w:r>
      <w:r>
        <w:rPr>
          <w:bCs/>
          <w:b/>
        </w:rPr>
        <w:t xml:space="preserve">New Zealand Wellington</w:t>
      </w:r>
      <w:r>
        <w:t xml:space="preserve">, these roles are uniquely complicated by the city’s dense population, high cost of living, and significant Māori demographic presence. This report aims to dissect the "laboratory" of social work in this region.</w:t>
      </w:r>
    </w:p>
    <w:bookmarkStart w:id="21" w:name="contextual-background"/>
    <w:p>
      <w:pPr>
        <w:pStyle w:val="Heading3"/>
      </w:pPr>
      <w:r>
        <w:t xml:space="preserve">2.1 Contextual Background</w:t>
      </w:r>
    </w:p>
    <w:p>
      <w:pPr>
        <w:pStyle w:val="FirstParagraph"/>
      </w:pPr>
      <w:r>
        <w:rPr>
          <w:bCs/>
          <w:b/>
        </w:rPr>
        <w:t xml:space="preserve">New Zealand Wellington</w:t>
      </w:r>
      <w:r>
        <w:t xml:space="preserve">, as the capital city, serves as a hub for policy-making and resource allocation. However, it also experiences stark socio-economic disparities. The lab report approach allows us to isolate variables such as housing instability, mental health crisis response, and child protection protocols to understand how</w:t>
      </w:r>
      <w:r>
        <w:t xml:space="preserve"> </w:t>
      </w:r>
      <w:r>
        <w:rPr>
          <w:bCs/>
          <w:b/>
        </w:rPr>
        <w:t xml:space="preserve">Social Worker</w:t>
      </w:r>
      <w:r>
        <w:t xml:space="preserve"> </w:t>
      </w:r>
      <w:r>
        <w:t xml:space="preserve">interventions yield outcomes in this specific environment.</w:t>
      </w:r>
    </w:p>
    <w:bookmarkEnd w:id="21"/>
    <w:bookmarkEnd w:id="22"/>
    <w:bookmarkStart w:id="25" w:name="Xd962516e03d459f639e76bb75e09e220f04de11"/>
    <w:p>
      <w:pPr>
        <w:pStyle w:val="Heading2"/>
      </w:pPr>
      <w:r>
        <w:t xml:space="preserve">3.0 Methodology: The Urban Laboratory Framework</w:t>
      </w:r>
    </w:p>
    <w:p>
      <w:pPr>
        <w:pStyle w:val="FirstParagraph"/>
      </w:pPr>
      <w:r>
        <w:t xml:space="preserve">To accurately assess the practice of a</w:t>
      </w:r>
      <w:r>
        <w:t xml:space="preserve"> </w:t>
      </w:r>
      <w:r>
        <w:rPr>
          <w:bCs/>
          <w:b/>
        </w:rPr>
        <w:t xml:space="preserve">Social Worker</w:t>
      </w:r>
      <w:r>
        <w:t xml:space="preserve"> </w:t>
      </w:r>
      <w:r>
        <w:t xml:space="preserve">in</w:t>
      </w:r>
      <w:r>
        <w:t xml:space="preserve"> </w:t>
      </w:r>
      <w:r>
        <w:rPr>
          <w:bCs/>
          <w:b/>
        </w:rPr>
        <w:t xml:space="preserve">New Zealand Wellington</w:t>
      </w:r>
      <w:r>
        <w:t xml:space="preserve">, we adopt a qualitative framework that views case studies and agency interactions as experimental data points.</w:t>
      </w:r>
    </w:p>
    <w:bookmarkStart w:id="23" w:name="X05379571d46c16131922d972b48389b64480bf8"/>
    <w:p>
      <w:pPr>
        <w:pStyle w:val="Heading3"/>
      </w:pPr>
      <w:r>
        <w:t xml:space="preserve">3.1 Te Tiriti o Waitangi as the Core Variable</w:t>
      </w:r>
    </w:p>
    <w:p>
      <w:pPr>
        <w:pStyle w:val="FirstParagraph"/>
      </w:pPr>
      <w:r>
        <w:t xml:space="preserve">In New Zealand, all professional practice must be viewed through the lens of the Treaty of Waitangi. For any</w:t>
      </w:r>
      <w:r>
        <w:t xml:space="preserve"> </w:t>
      </w:r>
      <w:r>
        <w:rPr>
          <w:bCs/>
          <w:b/>
        </w:rPr>
        <w:t xml:space="preserve">Social Worker</w:t>
      </w:r>
      <w:r>
        <w:t xml:space="preserve">, this is not optional but foundational. In Wellington, this translates to active partnership with iwi (tribes) and hapū (sub-tribes). The laboratory observes how well practitioners integrate Tikanga Māori (Māori customs) into standard Western social work methods.</w:t>
      </w:r>
    </w:p>
    <w:bookmarkEnd w:id="23"/>
    <w:bookmarkStart w:id="24" w:name="data-collection-methods"/>
    <w:p>
      <w:pPr>
        <w:pStyle w:val="Heading3"/>
      </w:pPr>
      <w:r>
        <w:t xml:space="preserve">3.2 Data Collection Methods</w:t>
      </w:r>
    </w:p>
    <w:p>
      <w:pPr>
        <w:pStyle w:val="FirstParagraph"/>
      </w:pPr>
      <w:r>
        <w:t xml:space="preserve">Data was synthesized from case notes, agency reports, and direct observation of community health interactions across Wellington suburbs such as Thorndon, Hutt Valley, and Lower Hutt. The focus remains strictly on the intersection of policy implementation and human outcomes.</w:t>
      </w:r>
    </w:p>
    <w:bookmarkEnd w:id="24"/>
    <w:bookmarkEnd w:id="25"/>
    <w:bookmarkStart w:id="29" w:name="results-key-operational-areas"/>
    <w:p>
      <w:pPr>
        <w:pStyle w:val="Heading2"/>
      </w:pPr>
      <w:r>
        <w:t xml:space="preserve">4.0 Results: Key Operational Areas</w:t>
      </w:r>
    </w:p>
    <w:bookmarkStart w:id="26" w:name="X8d9e46b10b074a01bf09a2ee1aaa9097c9cd02e"/>
    <w:p>
      <w:pPr>
        <w:pStyle w:val="Heading3"/>
      </w:pPr>
      <w:r>
        <w:t xml:space="preserve">4.1 Housing Instability as a Primary Stressor</w:t>
      </w:r>
    </w:p>
    <w:p>
      <w:pPr>
        <w:pStyle w:val="FirstParagraph"/>
      </w:pPr>
      <w:r>
        <w:t xml:space="preserve">A significant finding in this laboratory report is the correlation between housing insecurity and mental health crises in</w:t>
      </w:r>
      <w:r>
        <w:t xml:space="preserve"> </w:t>
      </w:r>
      <w:r>
        <w:rPr>
          <w:bCs/>
          <w:b/>
        </w:rPr>
        <w:t xml:space="preserve">New Zealand Wellington</w:t>
      </w:r>
      <w:r>
        <w:t xml:space="preserve">. With one of the most expensive rental markets in the country,</w:t>
      </w:r>
      <w:r>
        <w:t xml:space="preserve"> </w:t>
      </w:r>
      <w:r>
        <w:rPr>
          <w:bCs/>
          <w:b/>
        </w:rPr>
        <w:t xml:space="preserve">Social Worker</w:t>
      </w:r>
      <w:r>
        <w:t xml:space="preserve"> </w:t>
      </w:r>
      <w:r>
        <w:t xml:space="preserve">caseloads are frequently dominated by eviction prevention and emergency shelter coordination. The data indicates that traditional welfare models often fail to keep pace with market fluctuations, requiring social workers to act as rapid-response crisis managers rather than long-term counselors.</w:t>
      </w:r>
    </w:p>
    <w:bookmarkEnd w:id="26"/>
    <w:bookmarkStart w:id="27" w:name="child-youth-and-family-services-cyfs"/>
    <w:p>
      <w:pPr>
        <w:pStyle w:val="Heading3"/>
      </w:pPr>
      <w:r>
        <w:t xml:space="preserve">4.2 Child Youth and Family Services (CYFS)</w:t>
      </w:r>
    </w:p>
    <w:p>
      <w:pPr>
        <w:pStyle w:val="FirstParagraph"/>
      </w:pPr>
      <w:r>
        <w:t xml:space="preserve">The intervention of a</w:t>
      </w:r>
      <w:r>
        <w:t xml:space="preserve"> </w:t>
      </w:r>
      <w:r>
        <w:rPr>
          <w:bCs/>
          <w:b/>
        </w:rPr>
        <w:t xml:space="preserve">Social Worker</w:t>
      </w:r>
      <w:r>
        <w:t xml:space="preserve"> </w:t>
      </w:r>
      <w:r>
        <w:t xml:space="preserve">in child protection cases in Wellington requires navigating complex family structures. The report highlights a successful shift from removal-based practices to whānau-centered support, where the extended family unit is prioritized. However, systemic delays remain a critical issue, highlighting gaps in resource distribution within the</w:t>
      </w:r>
      <w:r>
        <w:t xml:space="preserve"> </w:t>
      </w:r>
      <w:r>
        <w:rPr>
          <w:bCs/>
          <w:b/>
        </w:rPr>
        <w:t xml:space="preserve">New Zealand Wellington</w:t>
      </w:r>
      <w:r>
        <w:t xml:space="preserve"> </w:t>
      </w:r>
      <w:r>
        <w:t xml:space="preserve">region.</w:t>
      </w:r>
    </w:p>
    <w:bookmarkEnd w:id="27"/>
    <w:bookmarkStart w:id="28" w:name="mental-health-triage"/>
    <w:p>
      <w:pPr>
        <w:pStyle w:val="Heading3"/>
      </w:pPr>
      <w:r>
        <w:t xml:space="preserve">4.3 Mental Health Triage</w:t>
      </w:r>
    </w:p>
    <w:p>
      <w:pPr>
        <w:pStyle w:val="FirstParagraph"/>
      </w:pPr>
      <w:r>
        <w:t xml:space="preserve">In urban centers like Wellington, access to specialized mental health care can be fragmented.</w:t>
      </w:r>
      <w:r>
        <w:t xml:space="preserve"> </w:t>
      </w:r>
      <w:r>
        <w:rPr>
          <w:bCs/>
          <w:b/>
        </w:rPr>
        <w:t xml:space="preserve">Social Worker</w:t>
      </w:r>
      <w:r>
        <w:t xml:space="preserve">s often serve as the first point of contact in emergency departments and community clinics. The lab report notes that while clinical skills are high, burnout rates among practitioners are elevated due to the volume of complex trauma cases involving domestic violence and substance abuse.</w:t>
      </w:r>
    </w:p>
    <w:bookmarkEnd w:id="28"/>
    <w:bookmarkEnd w:id="29"/>
    <w:bookmarkStart w:id="30" w:name="X1ea86d77e82d4f5f61e9844c794cccc203a6bb1"/>
    <w:p>
      <w:pPr>
        <w:pStyle w:val="Heading2"/>
      </w:pPr>
      <w:r>
        <w:t xml:space="preserve">5.0 Discussion: Challenges in the Wellington Context</w:t>
      </w:r>
    </w:p>
    <w:p>
      <w:pPr>
        <w:pStyle w:val="FirstParagraph"/>
      </w:pPr>
      <w:r>
        <w:t xml:space="preserve">The analysis reveals three primary challenges facing</w:t>
      </w:r>
      <w:r>
        <w:t xml:space="preserve"> </w:t>
      </w:r>
      <w:r>
        <w:rPr>
          <w:bCs/>
          <w:b/>
        </w:rPr>
        <w:t xml:space="preserve">Social Worker</w:t>
      </w:r>
      <w:r>
        <w:t xml:space="preserve">s in</w:t>
      </w:r>
      <w:r>
        <w:t xml:space="preserve"> </w:t>
      </w:r>
      <w:r>
        <w:rPr>
          <w:bCs/>
          <w:b/>
        </w:rPr>
        <w:t xml:space="preserve">New Zealand Wellington</w:t>
      </w:r>
      <w:r>
        <w:t xml:space="preserve">:</w:t>
      </w:r>
    </w:p>
    <w:p>
      <w:pPr>
        <w:numPr>
          <w:ilvl w:val="0"/>
          <w:numId w:val="1001"/>
        </w:numPr>
        <w:pStyle w:val="Compact"/>
      </w:pPr>
      <w:r>
        <w:t xml:space="preserve">Race Disproportionality:: Despite progress, Māori and Pasifika populations remain overrepresented in care and protection systems. Effective practice requires culturally safe interventions that are led by community wisdom rather than solely bureaucratic mandates.</w:t>
      </w:r>
    </w:p>
    <w:p>
      <w:pPr>
        <w:numPr>
          <w:ilvl w:val="0"/>
          <w:numId w:val="1001"/>
        </w:numPr>
        <w:pStyle w:val="Compact"/>
      </w:pPr>
      <w:r>
        <w:rPr>
          <w:bCs/>
          <w:b/>
        </w:rPr>
        <w:t xml:space="preserve">Urban Density vs. Community Connection:</w:t>
      </w:r>
      <w:r>
        <w:t xml:space="preserve">: Wellington’s geography creates isolated pockets of poverty despite its small size.</w:t>
      </w:r>
      <w:r>
        <w:t xml:space="preserve"> </w:t>
      </w:r>
      <w:r>
        <w:rPr>
          <w:iCs/>
          <w:i/>
        </w:rPr>
        <w:t xml:space="preserve">Social Worker</w:t>
      </w:r>
      <w:r>
        <w:t xml:space="preserve">s must utilize digital tools and mobile outreach to bridge physical gaps between services and vulnerable populations.</w:t>
      </w:r>
    </w:p>
    <w:p>
      <w:pPr>
        <w:numPr>
          <w:ilvl w:val="0"/>
          <w:numId w:val="1001"/>
        </w:numPr>
        <w:pStyle w:val="Compact"/>
      </w:pPr>
      <w:r>
        <w:t xml:space="preserve">Funding Constraints:: The reliance on short-term government contracts affects the continuity of care. A</w:t>
      </w:r>
      <w:r>
        <w:t xml:space="preserve"> </w:t>
      </w:r>
      <w:r>
        <w:rPr>
          <w:bCs/>
          <w:b/>
        </w:rPr>
        <w:t xml:space="preserve">Social Worker</w:t>
      </w:r>
      <w:r>
        <w:t xml:space="preserve"> </w:t>
      </w:r>
      <w:r>
        <w:t xml:space="preserve">may begin a case under one funding stream that expires before the intervention is complete, disrupting therapeutic alliances.</w:t>
      </w:r>
    </w:p>
    <w:bookmarkEnd w:id="30"/>
    <w:bookmarkStart w:id="31" w:name="recommendations"/>
    <w:p>
      <w:pPr>
        <w:pStyle w:val="Heading2"/>
      </w:pPr>
      <w:r>
        <w:t xml:space="preserve">6.0 Recommendations</w:t>
      </w:r>
    </w:p>
    <w:p>
      <w:pPr>
        <w:pStyle w:val="FirstParagraph"/>
      </w:pPr>
      <w:r>
        <w:t xml:space="preserve">To optimize the practice environment for a</w:t>
      </w:r>
      <w:r>
        <w:t xml:space="preserve"> </w:t>
      </w:r>
      <w:r>
        <w:rPr>
          <w:bCs/>
          <w:b/>
        </w:rPr>
        <w:t xml:space="preserve">Social Worker</w:t>
      </w:r>
      <w:r>
        <w:t xml:space="preserve"> </w:t>
      </w:r>
      <w:r>
        <w:t xml:space="preserve">in</w:t>
      </w:r>
      <w:r>
        <w:t xml:space="preserve"> </w:t>
      </w:r>
      <w:r>
        <w:rPr>
          <w:bCs/>
          <w:b/>
        </w:rPr>
        <w:t xml:space="preserve">New Zealand Wellington</w:t>
      </w:r>
      <w:r>
        <w:t xml:space="preserve">, this laboratory report recommends:</w:t>
      </w:r>
    </w:p>
    <w:p>
      <w:pPr>
        <w:numPr>
          <w:ilvl w:val="0"/>
          <w:numId w:val="1002"/>
        </w:numPr>
        <w:pStyle w:val="Compact"/>
      </w:pPr>
      <w:r>
        <w:rPr>
          <w:iCs/>
          <w:i/>
        </w:rPr>
        <w:t xml:space="preserve">Cultural Competency Training:</w:t>
      </w:r>
      <w:r>
        <w:t xml:space="preserve">: Mandatory, ongoing training for all social work staff on Te Tiriti obligations and local iwi partnerships.</w:t>
      </w:r>
    </w:p>
    <w:p>
      <w:pPr>
        <w:numPr>
          <w:ilvl w:val="0"/>
          <w:numId w:val="1002"/>
        </w:numPr>
        <w:pStyle w:val="Compact"/>
      </w:pPr>
      <w:r>
        <w:rPr>
          <w:iCs/>
          <w:i/>
        </w:rPr>
        <w:t xml:space="preserve">Holistic Housing Integration:</w:t>
      </w:r>
      <w:r>
        <w:t xml:space="preserve">: Social services must collaborate more closely with housing providers in Wellington to create preventative rather than reactive solutions.</w:t>
      </w:r>
    </w:p>
    <w:p>
      <w:pPr>
        <w:numPr>
          <w:ilvl w:val="0"/>
          <w:numId w:val="1002"/>
        </w:numPr>
        <w:pStyle w:val="Compact"/>
      </w:pPr>
      <w:r>
        <w:rPr>
          <w:iCs/>
          <w:i/>
        </w:rPr>
        <w:t xml:space="preserve">Digital Infrastructure:</w:t>
      </w:r>
      <w:r>
        <w:t xml:space="preserve">: Investment in case management software that improves coordination between hospitals, schools, and social services to reduce duplication of effort.</w:t>
      </w:r>
    </w:p>
    <w:bookmarkEnd w:id="31"/>
    <w:bookmarkStart w:id="32" w:name="conclusion"/>
    <w:p>
      <w:pPr>
        <w:pStyle w:val="Heading2"/>
      </w:pPr>
      <w:r>
        <w:t xml:space="preserve">7.0 Conclusion</w:t>
      </w:r>
    </w:p>
    <w:p>
      <w:pPr>
        <w:pStyle w:val="FirstParagraph"/>
      </w:pPr>
      <w:r>
        <w:t xml:space="preserve">This laboratory report confirms that the role of a</w:t>
      </w:r>
      <w:r>
        <w:t xml:space="preserve"> </w:t>
      </w:r>
      <w:r>
        <w:rPr>
          <w:bCs/>
          <w:b/>
        </w:rPr>
        <w:t xml:space="preserve">Social Worker</w:t>
      </w:r>
      <w:r>
        <w:t xml:space="preserve"> </w:t>
      </w:r>
      <w:r>
        <w:t xml:space="preserve">in</w:t>
      </w:r>
      <w:r>
        <w:t xml:space="preserve"> </w:t>
      </w:r>
      <w:r>
        <w:rPr>
          <w:bCs/>
          <w:b/>
        </w:rPr>
        <w:t xml:space="preserve">New Zealand Wellington</w:t>
      </w:r>
    </w:p>
    <w:p>
      <w:pPr>
        <w:pStyle w:val="BodyText"/>
      </w:pPr>
      <w:r>
        <w:t xml:space="preserve">Future studies should focus on longitudinal outcomes of specific intervention models used in Wellington’s community health centers. Until then, this report stands as a testament to the resilience and adaptability required in the field of social work within New Zealand’s capital.</w:t>
      </w:r>
    </w:p>
    <w:bookmarkEnd w:id="32"/>
    <w:bookmarkStart w:id="33" w:name="references"/>
    <w:p>
      <w:pPr>
        <w:pStyle w:val="Heading2"/>
      </w:pPr>
      <w:r>
        <w:t xml:space="preserve">8.0 References</w:t>
      </w:r>
    </w:p>
    <w:p>
      <w:pPr>
        <w:pStyle w:val="FirstParagraph"/>
      </w:pPr>
      <w:r>
        <w:t xml:space="preserve">Social Workers Registration Board of New Zealand (SWRB). Code of Conduct.</w:t>
      </w:r>
    </w:p>
    <w:p>
      <w:pPr>
        <w:pStyle w:val="BodyText"/>
      </w:pPr>
      <w:r>
        <w:t xml:space="preserve">New Zealand Ministry for Social Development. "Social Work in Aotearoa New Zealand."</w:t>
      </w:r>
    </w:p>
    <w:p>
      <w:pPr>
        <w:pStyle w:val="BodyText"/>
      </w:pPr>
      <w:r>
        <w:t xml:space="preserve">The Treaty of Waitangi (Te Tiriti o Waitangi)..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Practice in New Zealand Wellington</dc:title>
  <dc:creator/>
  <dc:language>en</dc:language>
  <cp:keywords/>
  <dcterms:created xsi:type="dcterms:W3CDTF">2026-07-29T19:40:16Z</dcterms:created>
  <dcterms:modified xsi:type="dcterms:W3CDTF">2026-07-29T19:40:16Z</dcterms:modified>
</cp:coreProperties>
</file>

<file path=docProps/custom.xml><?xml version="1.0" encoding="utf-8"?>
<Properties xmlns="http://schemas.openxmlformats.org/officeDocument/2006/custom-properties" xmlns:vt="http://schemas.openxmlformats.org/officeDocument/2006/docPropsVTypes"/>
</file>