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Methodologies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laboratory-report-no.-se-ukb-2023-x7"/>
    <w:p>
      <w:pPr>
        <w:pStyle w:val="Heading1"/>
      </w:pPr>
      <w:r>
        <w:t xml:space="preserve">Laboratory Report No. SE-UKB-2023-X7</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Directorate, United Kingdom Birmingham Operations Center</w:t>
      </w:r>
      <w:r>
        <w:br/>
      </w:r>
      <w:r>
        <w:rPr>
          <w:bCs/>
          <w:b/>
        </w:rPr>
        <w:t xml:space="preserve">From:</w:t>
      </w:r>
      <w:r>
        <w:t xml:space="preserve"> </w:t>
      </w:r>
      <w:r>
        <w:t xml:space="preserve">Senior Software Engineer, Quality Assurance &amp; Development Division</w:t>
      </w:r>
      <w:r>
        <w:br/>
      </w:r>
      <w:r>
        <w:rPr>
          <w:bCs/>
          <w:b/>
        </w:rPr>
        <w:t xml:space="preserve">Subject:</w:t>
      </w:r>
      <w:r>
        <w:t xml:space="preserve">Evaluation of Microservices Architecture Implementation and Agile Workflow Optimization in the United Kingdom Birmingham Hub</w:t>
      </w:r>
    </w:p>
    <w:bookmarkStart w:id="20" w:name="abstract"/>
    <w:p>
      <w:pPr>
        <w:pStyle w:val="Heading2"/>
      </w:pPr>
      <w:r>
        <w:t xml:space="preserve">1. Abstract</w:t>
      </w:r>
    </w:p>
    <w:p>
      <w:pPr>
        <w:pStyle w:val="FirstParagraph"/>
      </w:pPr>
      <w:r>
        <w:t xml:space="preserve">This lab report details the comprehensive analysis and execution of a software engineering initiative conducted within the technological hub of United Kingdom Birmingham. The primary objective was to evaluate the efficacy of transitioning a monolithic legacy application to a microservices-based architecture, specifically tailored for high-availability financial transaction processing. The study focuses on performance metrics, latency reduction, and team collaboration frameworks prevalent in modern software engineering practices within the UK tech sector.</w:t>
      </w:r>
    </w:p>
    <w:bookmarkEnd w:id="20"/>
    <w:bookmarkStart w:id="21" w:name="introduction"/>
    <w:p>
      <w:pPr>
        <w:pStyle w:val="Heading2"/>
      </w:pPr>
      <w:r>
        <w:t xml:space="preserve">2. Introduction</w:t>
      </w:r>
    </w:p>
    <w:p>
      <w:pPr>
        <w:pStyle w:val="FirstParagraph"/>
      </w:pPr>
      <w:r>
        <w:t xml:space="preserve">The technological landscape in United Kingdom Birmingham has emerged as a critical node for fintech and enterprise software development. As demand for real-time data processing increases, traditional monolithic architectures often struggle with scalability and maintainability. This laboratory experiment aims to address these challenges by implementing a containerized microservices solution using Kubernetes orchestration.</w:t>
      </w:r>
    </w:p>
    <w:p>
      <w:pPr>
        <w:pStyle w:val="BodyText"/>
      </w:pPr>
      <w:r>
        <w:t xml:space="preserve">The role of the Software Engineer is pivotal in this transition, requiring not only technical proficiency but also an understanding of regulatory compliance specific to the United Kingdom financial sector. The report outlines the methodology, experimental setup, data collection processes, and final analysis derived from three months of intensive development cycles within the Birmingham facility.</w:t>
      </w:r>
    </w:p>
    <w:bookmarkEnd w:id="21"/>
    <w:bookmarkStart w:id="22" w:name="objectives"/>
    <w:p>
      <w:pPr>
        <w:pStyle w:val="Heading2"/>
      </w:pPr>
      <w:r>
        <w:t xml:space="preserve">3. Objectives</w:t>
      </w:r>
    </w:p>
    <w:p>
      <w:pPr>
        <w:numPr>
          <w:ilvl w:val="0"/>
          <w:numId w:val="1001"/>
        </w:numPr>
        <w:pStyle w:val="Compact"/>
      </w:pPr>
      <w:r>
        <w:t xml:space="preserve">To migrate core payment processing modules from a monolithic Java-based system to independent Python and Node.js microservices.</w:t>
      </w:r>
    </w:p>
    <w:p>
      <w:pPr>
        <w:numPr>
          <w:ilvl w:val="0"/>
          <w:numId w:val="1001"/>
        </w:numPr>
        <w:pStyle w:val="Compact"/>
      </w:pPr>
      <w:r>
        <w:t xml:space="preserve">To measure the improvement in system latency and throughput under high-load conditions simulated within the Birmingham data center environment.</w:t>
      </w:r>
    </w:p>
    <w:p>
      <w:pPr>
        <w:numPr>
          <w:ilvl w:val="0"/>
          <w:numId w:val="1001"/>
        </w:numPr>
        <w:pStyle w:val="Compact"/>
      </w:pPr>
      <w:r>
        <w:t xml:space="preserve">To assess the impact of DevOps integration on deployment frequency and error rates for Software Engineers working in this region.</w:t>
      </w:r>
    </w:p>
    <w:bookmarkEnd w:id="22"/>
    <w:bookmarkStart w:id="26" w:name="methodology"/>
    <w:p>
      <w:pPr>
        <w:pStyle w:val="Heading2"/>
      </w:pPr>
      <w:r>
        <w:t xml:space="preserve">4. Methodology</w:t>
      </w:r>
    </w:p>
    <w:bookmarkStart w:id="23" w:name="experimental-environment-setup"/>
    <w:p>
      <w:pPr>
        <w:pStyle w:val="Heading3"/>
      </w:pPr>
      <w:r>
        <w:t xml:space="preserve">4.1 Experimental Environment Setup</w:t>
      </w:r>
    </w:p>
    <w:p>
      <w:pPr>
        <w:pStyle w:val="FirstParagraph"/>
      </w:pPr>
      <w:r>
        <w:t xml:space="preserve">The laboratory environment was replicated to mirror production standards found across United Kingdom Birmingham data centers. We utilized a hybrid cloud infrastructure, leveraging local on-premise servers for low-latency requirements and public cloud services for scalable compute resources. The software stack included Docker for containerization, Kubernetes for orchestration, and Prometheus/Grafana for monitoring.</w:t>
      </w:r>
    </w:p>
    <w:bookmarkEnd w:id="23"/>
    <w:bookmarkStart w:id="24" w:name="software-engineering-practices"/>
    <w:p>
      <w:pPr>
        <w:pStyle w:val="Heading3"/>
      </w:pPr>
      <w:r>
        <w:t xml:space="preserve">4.2 Software Engineering Practices</w:t>
      </w:r>
    </w:p>
    <w:p>
      <w:pPr>
        <w:pStyle w:val="FirstParagraph"/>
      </w:pPr>
      <w:r>
        <w:t xml:space="preserve">Adhering to Agile methodologies, the development team operated in two-week sprints. Continuous Integration/Continuous Deployment (CI/CD) pipelines were established using Jenkins and GitHub Actions. Code reviews were strictly enforced to ensure adherence to Clean Code principles, a standard expectation for professional Software Engineers operating within the competitive United Kingdom market.</w:t>
      </w:r>
    </w:p>
    <w:bookmarkEnd w:id="24"/>
    <w:bookmarkStart w:id="25" w:name="load-testing-protocol"/>
    <w:p>
      <w:pPr>
        <w:pStyle w:val="Heading3"/>
      </w:pPr>
      <w:r>
        <w:t xml:space="preserve">4.3 Load Testing Protocol</w:t>
      </w:r>
    </w:p>
    <w:p>
      <w:pPr>
        <w:pStyle w:val="FirstParagraph"/>
      </w:pPr>
      <w:r>
        <w:t xml:space="preserve">We employed Apache JMeter and Gatling to simulate concurrent user loads. Tests were designed to gradually increase virtual users from 1,000 to 50,00 simultaneous connections, mimicking peak trading hours typical for financial institutions based in United Kingdom Birmingham.</w:t>
      </w:r>
    </w:p>
    <w:bookmarkEnd w:id="25"/>
    <w:bookmarkEnd w:id="26"/>
    <w:bookmarkStart w:id="27" w:name="results-and-data-analysis"/>
    <w:p>
      <w:pPr>
        <w:pStyle w:val="Heading2"/>
      </w:pPr>
      <w:r>
        <w:t xml:space="preserve">5. Results and Data Analysis</w:t>
      </w:r>
    </w:p>
    <w:p>
      <w:pPr>
        <w:pStyle w:val="FirstParagraph"/>
      </w:pPr>
      <w:r>
        <w:t xml:space="preserve">The following data represents the aggregate performance metrics collected over a four-week testing period.</w:t>
      </w:r>
    </w:p>
    <w:p>
      <w:pPr>
        <w:pStyle w:val="BodyText"/>
      </w:pPr>
      <w:r>
        <w:rPr>
          <w:bCs/>
          <w:b/>
        </w:rPr>
        <w:t xml:space="preserve">Metric</w:t>
      </w:r>
    </w:p>
    <w:p>
      <w:pPr>
        <w:pStyle w:val="BodyText"/>
      </w:pPr>
      <w:r>
        <w:rPr>
          <w:bCs/>
          <w:b/>
        </w:rPr>
        <w:t xml:space="preserve">Baseline (Monolithic)</w:t>
      </w:r>
    </w:p>
    <w:p>
      <w:pPr>
        <w:pStyle w:val="BodyText"/>
      </w:pPr>
      <w:r>
        <w:t xml:space="preserve">Trial (Microservices)</w:t>
      </w:r>
      <w:r>
        <w:t xml:space="preserve"> </w:t>
      </w:r>
      <w:r>
        <w:t xml:space="preserve">&lt; th &gt;% Improvement</w:t>
      </w:r>
      <w:r>
        <w:t xml:space="preserve"> </w:t>
      </w:r>
      <w:r>
        <w:t xml:space="preserve">&lt; tr &gt;</w:t>
      </w:r>
      <w:r>
        <w:t xml:space="preserve"> </w:t>
      </w:r>
      <w:r>
        <w:t xml:space="preserve">&lt; td &gt;&lt; strong&gt;Average Latency (ms)</w:t>
      </w:r>
      <w:r>
        <w:t xml:space="preserve"> </w:t>
      </w:r>
      <w:r>
        <w:t xml:space="preserve">&lt; td&gt;450 ms</w:t>
      </w:r>
    </w:p>
    <w:p>
      <w:pPr>
        <w:pStyle w:val="BodyText"/>
      </w:pPr>
      <w:r>
        <w:t xml:space="preserve">120 ms</w:t>
      </w:r>
    </w:p>
    <w:p>
      <w:pPr>
        <w:pStyle w:val="BodyText"/>
      </w:pPr>
      <w:r>
        <w:t xml:space="preserve">73.3%</w:t>
      </w:r>
    </w:p>
    <w:p>
      <w:pPr>
        <w:pStyle w:val="BodyText"/>
      </w:pPr>
      <w:r>
        <w:t xml:space="preserve">Throughput (Requests/sec)</w:t>
      </w:r>
    </w:p>
    <w:p>
      <w:pPr>
        <w:pStyle w:val="BodyText"/>
      </w:pPr>
      <w:r>
        <w:t xml:space="preserve">1,200 req/s&lt; td &gt;4,50 0 req/s&lt; td style =" color : green ;" &gt;275 %&lt; / t d &gt;&lt; tr &gt;&lt; th sc ope =" row" &gt; Error Rate ( &lt; )</w:t>
      </w:r>
    </w:p>
    <w:p>
      <w:pPr>
        <w:pStyle w:val="BodyText"/>
      </w:pPr>
      <w:r>
        <w:t xml:space="preserve">3.5%</w:t>
      </w:r>
    </w:p>
    <w:p>
      <w:pPr>
        <w:pStyle w:val="BodyText"/>
      </w:pPr>
      <w:r>
        <w:t xml:space="preserve">0.8%</w:t>
      </w:r>
    </w:p>
    <w:p>
      <w:pPr>
        <w:pStyle w:val="BodyText"/>
      </w:pPr>
      <w:r>
        <w:t xml:space="preserve">77.1%</w:t>
      </w:r>
    </w:p>
    <w:p>
      <w:pPr>
        <w:pStyle w:val="BodyText"/>
      </w:pPr>
      <w:r>
        <w:t xml:space="preserve">Deployment Frequency&lt; td &gt;Weekly&lt; td&gt;Daily</w:t>
      </w:r>
    </w:p>
    <w:p>
      <w:pPr>
        <w:pStyle w:val="BodyText"/>
      </w:pPr>
      <w:r>
        <w:t xml:space="preserve">300 %&lt; / t d &gt;</w:t>
      </w:r>
    </w:p>
    <w:bookmarkEnd w:id="27"/>
    <w:bookmarkStart w:id="28" w:name="discussion"/>
    <w:p>
      <w:pPr>
        <w:pStyle w:val="Heading2"/>
      </w:pPr>
      <w:r>
        <w:t xml:space="preserve">6. Discussion</w:t>
      </w:r>
    </w:p>
    <w:p>
      <w:pPr>
        <w:pStyle w:val="FirstParagraph"/>
      </w:pPr>
      <w:r>
        <w:t xml:space="preserve">The results unequivocally demonstrate the superiority of the microservices architecture in handling high-concurrency tasks typical of modern financial applications. The significant reduction in latency (from 450ms to 120ms) directly impacts user experience, a critical factor for businesses operating in United Kingdom Birmingham's competitive market.</w:t>
      </w:r>
    </w:p>
    <w:p>
      <w:pPr>
        <w:pStyle w:val="BodyText"/>
      </w:pPr>
      <w:r>
        <w:t xml:space="preserve">From a Software Engineer's perspective, the shift required a cultural change within the team. Initially, there was resistance due to the increased complexity of distributed tracing and debugging. However, once standardized logging practices (ELK Stack) were implemented across all services in the United Kingdom Birmingham hub, developer velocity improved markedly.</w:t>
      </w:r>
    </w:p>
    <w:p>
      <w:pPr>
        <w:pStyle w:val="BodyText"/>
      </w:pPr>
      <w:r>
        <w:t xml:space="preserve">The decrease in error rate suggests that isolating services prevents cascading failures. In the monolithic system, a bug in the reporting module would crash the payment processing engine. In the new architecture, such faults are contained within specific service boundaries.</w:t>
      </w:r>
    </w:p>
    <w:bookmarkEnd w:id="28"/>
    <w:bookmarkStart w:id="29" w:name="challenges-encountered"/>
    <w:p>
      <w:pPr>
        <w:pStyle w:val="Heading2"/>
      </w:pPr>
      <w:r>
        <w:t xml:space="preserve">7. Challenges Encountered</w:t>
      </w:r>
    </w:p>
    <w:p>
      <w:pPr>
        <w:numPr>
          <w:ilvl w:val="0"/>
          <w:numId w:val="1002"/>
        </w:numPr>
        <w:pStyle w:val="Compact"/>
      </w:pPr>
      <w:r>
        <w:rPr>
          <w:bCs/>
          <w:b/>
        </w:rPr>
        <w:t xml:space="preserve">Data Consistency:</w:t>
      </w:r>
      <w:r>
        <w:t xml:space="preserve"> </w:t>
      </w:r>
      <w:r>
        <w:t xml:space="preserve">Managing distributed transactions proved challenging. We had to implement the Saga pattern to ensure eventual consistency across services, which required significant refactoring by the Software Engineers.</w:t>
      </w:r>
    </w:p>
    <w:p>
      <w:pPr>
        <w:numPr>
          <w:ilvl w:val="0"/>
          <w:numId w:val="1002"/>
        </w:numPr>
        <w:pStyle w:val="Compact"/>
      </w:pPr>
      <w:r>
        <w:t xml:space="preserve">Skill Gaps: Some team members lacked prior experience with Kubernetes. Targeted training sessions were held in United Kingdom Birmingham to upskill the workforce, emphasizing that modern software engineering is not just about coding but about infrastructure management.</w:t>
      </w:r>
    </w:p>
    <w:bookmarkEnd w:id="29"/>
    <w:bookmarkStart w:id="30" w:name="conclusion"/>
    <w:p>
      <w:pPr>
        <w:pStyle w:val="Heading2"/>
      </w:pPr>
      <w:r>
        <w:t xml:space="preserve">8. Conclusion</w:t>
      </w:r>
    </w:p>
    <w:p>
      <w:pPr>
        <w:pStyle w:val="FirstParagraph"/>
      </w:pPr>
      <w:r>
        <w:t xml:space="preserve">This laboratory report confirms that migrating to a microservices architecture significantly enhances performance, reliability, and deployment speed for applications serving the United Kingdom Birmingham market. The data supports the hypothesis that modern software engineering practices, when properly implemented with robust DevOps pipelines, yield substantial operational benefits.</w:t>
      </w:r>
    </w:p>
    <w:p>
      <w:pPr>
        <w:pStyle w:val="BodyText"/>
      </w:pPr>
      <w:r>
        <w:t xml:space="preserve">For organizations headquartered in United Kingdom Birmingham looking to future-proof their technology stack against scaling issues, this report serves as a validation of the proposed architectural changes. It is recommended that further research be conducted into serverless computing options to further reduce infrastructure overhead.</w:t>
      </w:r>
    </w:p>
    <w:bookmarkEnd w:id="30"/>
    <w:bookmarkStart w:id="32" w:name="recommendations"/>
    <w:p>
      <w:pPr>
        <w:pStyle w:val="Heading2"/>
      </w:pPr>
      <w:r>
        <w:t xml:space="preserve">9. Recommendations</w:t>
      </w:r>
    </w:p>
    <w:p>
      <w:pPr>
        <w:numPr>
          <w:ilvl w:val="0"/>
          <w:numId w:val="1003"/>
        </w:numPr>
        <w:pStyle w:val="Compact"/>
      </w:pPr>
      <w:r>
        <w:t xml:space="preserve">Audit all legacy codebases for potential microservice candidates before full-scale migration.</w:t>
      </w:r>
    </w:p>
    <w:p>
      <w:pPr>
        <w:numPr>
          <w:ilvl w:val="0"/>
          <w:numId w:val="1003"/>
        </w:numPr>
        <w:pStyle w:val="Compact"/>
      </w:pPr>
      <w:r>
        <w:t xml:space="preserve">Invest in automated testing frameworks to maintain the high quality standards required by Software Engineers in regulated industries.</w:t>
      </w:r>
    </w:p>
    <w:p>
      <w:pPr>
        <w:numPr>
          <w:ilvl w:val="0"/>
          <w:numId w:val="1003"/>
        </w:numPr>
        <w:pStyle w:val="Compact"/>
      </w:pPr>
      <w:r>
        <w:t xml:space="preserve">Continue collaboration with local tech universities in United Kingdom Birmingham to foster a pipeline of talent skilled in cloud-native technologies.</w:t>
      </w:r>
    </w:p>
    <w:p>
      <w:pPr>
        <w:pStyle w:val="FirstParagraph"/>
      </w:pPr>
      <w:r>
        <w:rPr>
          <w:bCs/>
          <w:b/>
        </w:rPr>
        <w:t xml:space="preserve">Prepared By:</w:t>
      </w:r>
    </w:p>
    <w:p>
      <w:pPr>
        <w:pStyle w:val="BodyText"/>
      </w:pPr>
      <w:r>
        <w:t xml:space="preserve">Jane Doe, Senior Software Engineer</w:t>
      </w:r>
    </w:p>
    <w:p>
      <w:pPr>
        <w:pStyle w:val="BodyText"/>
      </w:pPr>
      <w:r>
        <w:t xml:space="preserve">Tech Solutions Ltd.</w:t>
      </w:r>
    </w:p>
    <w:p>
      <w:pPr>
        <w:pStyle w:val="BodyText"/>
      </w:pPr>
      <w:r>
        <w:t xml:space="preserve">Birmingham, United Kingdom</w:t>
      </w:r>
    </w:p>
    <w:bookmarkStart w:id="31" w:name="Xd97f82fdbc1246b0b420dacb755124457160b55"/>
    <w:p>
      <w:pPr>
        <w:pStyle w:val="Heading3"/>
      </w:pPr>
      <w:r>
        <w:t xml:space="preserve">Appendix A: Regulatory Compliance Statement</w:t>
      </w:r>
    </w:p>
    <w:p>
      <w:pPr>
        <w:pStyle w:val="FirstParagraph"/>
      </w:pPr>
      <w:r>
        <w:t xml:space="preserve">All software engineering activities documented in this lab report were conducted in strict adherence to UK GDPR and FCA (Financial Conduct Authority) guidelines relevant to digital banking operations in United Kingdom Birmingham.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Software Engineering Methodologies in United Kingdom Birmingham</dc:title>
  <dc:creator/>
  <cp:keywords/>
  <dcterms:created xsi:type="dcterms:W3CDTF">2026-07-29T14:17:13Z</dcterms:created>
  <dcterms:modified xsi:type="dcterms:W3CDTF">2026-07-29T14:17:13Z</dcterms:modified>
</cp:coreProperties>
</file>

<file path=docProps/custom.xml><?xml version="1.0" encoding="utf-8"?>
<Properties xmlns="http://schemas.openxmlformats.org/officeDocument/2006/custom-properties" xmlns:vt="http://schemas.openxmlformats.org/officeDocument/2006/docPropsVTypes"/>
</file>