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Software</w:t>
      </w:r>
      <w:r>
        <w:t xml:space="preserve"> </w:t>
      </w:r>
      <w:r>
        <w:t xml:space="preserve">Engineering</w:t>
      </w:r>
      <w:r>
        <w:t xml:space="preserve"> </w:t>
      </w:r>
      <w:r>
        <w:t xml:space="preserve">Practices</w:t>
      </w:r>
      <w:r>
        <w:t xml:space="preserve"> </w:t>
      </w:r>
      <w:r>
        <w:t xml:space="preserve">in</w:t>
      </w:r>
      <w:r>
        <w:t xml:space="preserve"> </w:t>
      </w:r>
      <w:r>
        <w:t xml:space="preserve">the</w:t>
      </w:r>
      <w:r>
        <w:t xml:space="preserve"> </w:t>
      </w:r>
      <w:r>
        <w:t xml:space="preserve">United</w:t>
      </w:r>
      <w:r>
        <w:t xml:space="preserve"> </w:t>
      </w:r>
      <w:r>
        <w:t xml:space="preserve">Kingdom</w:t>
      </w:r>
      <w:r>
        <w:t xml:space="preserve"> </w:t>
      </w:r>
      <w:r>
        <w:t xml:space="preserve">London</w:t>
      </w:r>
      <w:r>
        <w:t xml:space="preserve"> </w:t>
      </w:r>
      <w:r>
        <w:t xml:space="preserve">Context</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Senior Engineering Management Board</w:t>
      </w:r>
      <w:r>
        <w:br/>
      </w:r>
    </w:p>
    <w:p>
      <w:pPr>
        <w:pStyle w:val="BodyText"/>
      </w:pPr>
      <w:r>
        <w:t xml:space="preserve">From:&gt; Junior Software Engineer</w:t>
      </w:r>
      <w:r>
        <w:br/>
      </w:r>
      <w:r>
        <w:rPr>
          <w:bCs/>
          <w:b/>
        </w:rPr>
        <w:t xml:space="preserve">Email:</w:t>
      </w:r>
      <w:r>
        <w:t xml:space="preserve"> </w:t>
      </w:r>
      <w:r>
        <w:t xml:space="preserve">s.johnson@techcorp.co.uk</w:t>
      </w:r>
    </w:p>
    <w:p>
      <w:pPr>
        <w:pStyle w:val="BodyText"/>
      </w:pPr>
      <w:r>
        <w:t xml:space="preserve">"Lab Report: Advanced Software Engineering Methodologies and Security Protocols in a United Kingdom London Financial Context"</w:t>
      </w:r>
    </w:p>
    <w:bookmarkStart w:id="20" w:name="executive-summary"/>
    <w:p>
      <w:pPr>
        <w:pStyle w:val="Heading2"/>
      </w:pPr>
      <w:r>
        <w:t xml:space="preserve">1. Executive Summary</w:t>
      </w:r>
    </w:p>
    <w:p>
      <w:pPr>
        <w:pStyle w:val="FirstParagraph"/>
      </w:pPr>
      <w:r>
        <w:t xml:space="preserve">This document serves as a comprehensive Lab Report detailing the implementation, testing, and validation of modern software engineering practices specifically tailored for the high-stakes environment of London, United Kingdom. The primary objective was to evaluate the efficacy of Agile methodologies combined with strict adherence to Financial Conduct Authority (FCA) regulations within a fintech startup located in Central London. The report outlines the technical challenges encountered during the development lifecycle, specifically focusing on data sovereignty, real-time transaction processing latency, and cybersecurity compliance under UK GDPR standards.</w:t>
      </w:r>
    </w:p>
    <w:bookmarkEnd w:id="20"/>
    <w:bookmarkStart w:id="21" w:name="introduction"/>
    <w:p>
      <w:pPr>
        <w:pStyle w:val="Heading2"/>
      </w:pPr>
      <w:r>
        <w:t xml:space="preserve">2. Introduction</w:t>
      </w:r>
    </w:p>
    <w:p>
      <w:pPr>
        <w:pStyle w:val="FirstParagraph"/>
      </w:pPr>
      <w:r>
        <w:t xml:space="preserve">The city of United Kingdom London stands as one of the world's leading financial hubs. Consequently, software engineers operating within this jurisdiction face unique pressures that differ significantly from those in other global markets. The complexity arises not only from the technological demands but also from a rigorous regulatory landscape that prioritizes consumer protection and financial stability.</w:t>
      </w:r>
    </w:p>
    <w:p>
      <w:pPr>
        <w:pStyle w:val="BodyText"/>
      </w:pPr>
      <w:r>
        <w:t xml:space="preserve">In this lab report, we examine a specific project: the development of a high-frequency trading dashboard for institutional clients based in United Kingdom London. The core challenge was to ensure that the software engineering lifecycle (SDLC) complied with both international technical standards and local legal requirements. The report aims to demonstrate how a robust Software Engineer framework can deliver innovative solutions while maintaining absolute compliance and security.</w:t>
      </w:r>
    </w:p>
    <w:bookmarkEnd w:id="21"/>
    <w:bookmarkStart w:id="22" w:name="objectives"/>
    <w:p>
      <w:pPr>
        <w:pStyle w:val="Heading2"/>
      </w:pPr>
      <w:r>
        <w:t xml:space="preserve">3. Objectives</w:t>
      </w:r>
    </w:p>
    <w:p>
      <w:pPr>
        <w:pStyle w:val="FirstParagraph"/>
      </w:pPr>
      <w:r>
        <w:t xml:space="preserve">The primary objectives of this lab session were threefold:</w:t>
      </w:r>
    </w:p>
    <w:p>
      <w:pPr>
        <w:numPr>
          <w:ilvl w:val="0"/>
          <w:numId w:val="1001"/>
        </w:numPr>
        <w:pStyle w:val="Compact"/>
      </w:pPr>
      <w:r>
        <w:t xml:space="preserve">To develop a microservices-based architecture capable of handling real-time data feeds with sub-millisecond latency.</w:t>
      </w:r>
    </w:p>
    <w:p>
      <w:pPr>
        <w:numPr>
          <w:ilvl w:val="0"/>
          <w:numId w:val="1001"/>
        </w:numPr>
        <w:pStyle w:val="Compact"/>
      </w:pPr>
      <w:r>
        <w:t xml:space="preserve">To ensure full compliance with United Kingdom London data protection laws, specifically UK GDPR and the Data Protection Act 2018.</w:t>
      </w:r>
    </w:p>
    <w:p>
      <w:pPr>
        <w:numPr>
          <w:ilvl w:val="0"/>
          <w:numId w:val="1001"/>
        </w:numPr>
        <w:pStyle w:val="Compact"/>
      </w:pPr>
      <w:r>
        <w:t xml:space="preserve">To validate the role of the Software Engineer as not just a coder, but as a critical stakeholder in regulatory compliance and ethical software design.</w:t>
      </w:r>
    </w:p>
    <w:bookmarkEnd w:id="22"/>
    <w:bookmarkStart w:id="26" w:name="methodology"/>
    <w:p>
      <w:pPr>
        <w:pStyle w:val="Heading2"/>
      </w:pPr>
      <w:r>
        <w:t xml:space="preserve">4. Methodology</w:t>
      </w:r>
    </w:p>
    <w:bookmarkStart w:id="23" w:name="development-environment-setup"/>
    <w:p>
      <w:pPr>
        <w:pStyle w:val="Heading3"/>
      </w:pPr>
      <w:r>
        <w:t xml:space="preserve">4.1 Development Environment Setup</w:t>
      </w:r>
    </w:p>
    <w:p>
      <w:pPr>
        <w:pStyle w:val="FirstParagraph"/>
      </w:pPr>
      <w:r>
        <w:t xml:space="preserve">The development environment was established on cloud infrastructure located physically within United Kingdom London data centres to ensure data residency requirements were met from the outset. We utilized Kubernetes for container orchestration, ensuring that all instances remained within UK borders.</w:t>
      </w:r>
    </w:p>
    <w:bookmarkEnd w:id="23"/>
    <w:bookmarkStart w:id="24" w:name="agile-and-devops-integration"/>
    <w:p>
      <w:pPr>
        <w:pStyle w:val="Heading3"/>
      </w:pPr>
      <w:r>
        <w:t xml:space="preserve">4.2 Agile and DevOps Integration</w:t>
      </w:r>
    </w:p>
    <w:p>
      <w:pPr>
        <w:pStyle w:val="FirstParagraph"/>
      </w:pPr>
      <w:r>
        <w:t xml:space="preserve">We adopted a hybrid Agile approach, combining Scrum for sprint planning with Kanban for continuous deployment. This methodology was chosen to allow rapid iteration while maintaining strict control over production environments. The Software Engineer played a pivotal role in configuring CI/CD pipelines that included automated security scanning tools such as Snyk and SonarQube, ensuring that code quality met the high standards expected in United Kingdom London's financial sector.</w:t>
      </w:r>
    </w:p>
    <w:bookmarkEnd w:id="24"/>
    <w:bookmarkStart w:id="25" w:name="regulatory-compliance-checks"/>
    <w:p>
      <w:pPr>
        <w:pStyle w:val="Heading3"/>
      </w:pPr>
      <w:r>
        <w:t xml:space="preserve">4.3 Regulatory Compliance Checks</w:t>
      </w:r>
    </w:p>
    <w:p>
      <w:pPr>
        <w:pStyle w:val="FirstParagraph"/>
      </w:pPr>
      <w:r>
        <w:t xml:space="preserve">Before any code was merged into the main branch, a compliance layer was introduced. This layer verified that all data handling procedures adhered to FCA guidelines. The Software Engineer was required to document every decision related to data encryption and user consent management, creating an audit trail that is essential for regulatory inspections in United Kingdom London.</w:t>
      </w:r>
    </w:p>
    <w:bookmarkEnd w:id="25"/>
    <w:bookmarkEnd w:id="26"/>
    <w:bookmarkStart w:id="29" w:name="implementation-details"/>
    <w:p>
      <w:pPr>
        <w:pStyle w:val="Heading2"/>
      </w:pPr>
      <w:r>
        <w:t xml:space="preserve">5. Implementation Details</w:t>
      </w:r>
    </w:p>
    <w:bookmarkStart w:id="27" w:name="microservices-architecture"/>
    <w:p>
      <w:pPr>
        <w:pStyle w:val="Heading3"/>
      </w:pPr>
      <w:r>
        <w:t xml:space="preserve">5.1 Microservices Architecture</w:t>
      </w:r>
    </w:p>
    <w:p>
      <w:pPr>
        <w:pStyle w:val="FirstParagraph"/>
      </w:pPr>
      <w:r>
        <w:t xml:space="preserve">The system was decomposed into five core microservices: User Authentication, Market Data Ingestion, Risk Analysis Engine, Transaction Processing, and Audit Logging. Each service was developed independently by a dedicated Software Engineer or pair of engineers to ensure modularity.</w:t>
      </w:r>
    </w:p>
    <w:p>
      <w:pPr>
        <w:numPr>
          <w:ilvl w:val="0"/>
          <w:numId w:val="1002"/>
        </w:numPr>
        <w:pStyle w:val="Compact"/>
      </w:pPr>
      <w:r>
        <w:rPr>
          <w:bCs/>
          <w:b/>
        </w:rPr>
        <w:t xml:space="preserve">User Authentication:</w:t>
      </w:r>
      <w:r>
        <w:t xml:space="preserve"> </w:t>
      </w:r>
      <w:r>
        <w:t xml:space="preserve">Implemented using OAuth 2.0 with multi-factor authentication (MFA) stored in encrypted databases compliant with UK standards.</w:t>
      </w:r>
    </w:p>
    <w:p>
      <w:pPr>
        <w:numPr>
          <w:ilvl w:val="0"/>
          <w:numId w:val="1002"/>
        </w:numPr>
        <w:pStyle w:val="Compact"/>
      </w:pPr>
      <w:r>
        <w:rPr>
          <w:bCs/>
          <w:b/>
        </w:rPr>
        <w:t xml:space="preserve">Market Data Ingestion:</w:t>
      </w:r>
      <w:r>
        <w:t xml:space="preserve"> </w:t>
      </w:r>
      <w:r>
        <w:t xml:space="preserve">Utilized Apache Kafka for streaming data, ensuring low latency and high throughput. The engineering team optimized the brokers to reside in London-based zones to minimize network jitter.</w:t>
      </w:r>
    </w:p>
    <w:bookmarkEnd w:id="27"/>
    <w:bookmarkStart w:id="28" w:name="security-protocols"/>
    <w:p>
      <w:pPr>
        <w:pStyle w:val="Heading3"/>
      </w:pPr>
      <w:r>
        <w:t xml:space="preserve">5.2 Security Protocols</w:t>
      </w:r>
    </w:p>
    <w:p>
      <w:pPr>
        <w:pStyle w:val="FirstParagraph"/>
      </w:pPr>
      <w:r>
        <w:t xml:space="preserve">Data at rest was encrypted using AES-256, while data in transit was secured via TLS 1.3. The Software Engineer implemented strict access controls using Role-Based Access Control (RBAC), ensuring that only authorized personnel could access sensitive financial data. This is particularly critical in United Kingdom London, where the threat landscape for cyberattacks on financial institutions is severe.</w:t>
      </w:r>
    </w:p>
    <w:bookmarkEnd w:id="28"/>
    <w:bookmarkEnd w:id="29"/>
    <w:bookmarkStart w:id="32" w:name="testing-and-validation"/>
    <w:p>
      <w:pPr>
        <w:pStyle w:val="Heading2"/>
      </w:pPr>
      <w:r>
        <w:t xml:space="preserve">6. Testing and Validation</w:t>
      </w:r>
    </w:p>
    <w:bookmarkStart w:id="30" w:name="load-testing"/>
    <w:p>
      <w:pPr>
        <w:pStyle w:val="Heading3"/>
      </w:pPr>
      <w:r>
        <w:t xml:space="preserve">6.1 Load Testing</w:t>
      </w:r>
    </w:p>
    <w:p>
      <w:pPr>
        <w:pStyle w:val="FirstParagraph"/>
      </w:pPr>
      <w:r>
        <w:t xml:space="preserve">We conducted rigorous load testing using JMeter to simulate peak trading hours in United Kingdom London. The results indicated that the system could handle up to 50,000 transactions per second with an average latency of 4ms, well within the required thresholds for institutional clients.</w:t>
      </w:r>
    </w:p>
    <w:bookmarkEnd w:id="30"/>
    <w:bookmarkStart w:id="31" w:name="security-penetration-testing"/>
    <w:p>
      <w:pPr>
        <w:pStyle w:val="Heading3"/>
      </w:pPr>
      <w:r>
        <w:t xml:space="preserve">6.2 Security Penetration Testing</w:t>
      </w:r>
    </w:p>
    <w:p>
      <w:pPr>
        <w:pStyle w:val="FirstParagraph"/>
      </w:pPr>
      <w:r>
        <w:t xml:space="preserve">A third-party security firm was engaged to perform penetration testing. The focus was on identifying vulnerabilities such as SQL injection and cross-site scripting (XSS). The Software Engineer team addressed all critical findings within 48 hours of receipt, demonstrating the agility required in a fast-paced regulatory environment.</w:t>
      </w:r>
    </w:p>
    <w:bookmarkEnd w:id="31"/>
    <w:bookmarkEnd w:id="32"/>
    <w:bookmarkStart w:id="33" w:name="results-and-analysis"/>
    <w:p>
      <w:pPr>
        <w:pStyle w:val="Heading2"/>
      </w:pPr>
      <w:r>
        <w:t xml:space="preserve">7. Results and Analysis</w:t>
      </w:r>
    </w:p>
    <w:p>
      <w:pPr>
        <w:pStyle w:val="FirstParagraph"/>
      </w:pPr>
      <w:r>
        <w:t xml:space="preserve">The deployment of the system resulted in a 99.99% uptime during the beta phase, which was conducted with select clients in United Kingdom London. The compliance audit passed without any major non-conformities, validating the effectiveness of integrating regulatory checks into the daily workflow of every Software Engineer involved.</w:t>
      </w:r>
    </w:p>
    <w:p>
      <w:pPr>
        <w:pStyle w:val="BodyText"/>
      </w:pPr>
      <w:r>
        <w:t xml:space="preserve">Furthermore, feedback from users highlighted the intuitive nature of the dashboard and its reliability. However, some minor usability issues were identified regarding mobile responsiveness on older devices, which was subsequently patched in a hotfix release.</w:t>
      </w:r>
    </w:p>
    <w:bookmarkEnd w:id="33"/>
    <w:bookmarkStart w:id="34" w:name="discussion"/>
    <w:p>
      <w:pPr>
        <w:pStyle w:val="Heading2"/>
      </w:pPr>
      <w:r>
        <w:t xml:space="preserve">8. Discussion</w:t>
      </w:r>
    </w:p>
    <w:p>
      <w:pPr>
        <w:pStyle w:val="FirstParagraph"/>
      </w:pPr>
      <w:r>
        <w:t xml:space="preserve">This lab report underscores the critical intersection between technical excellence and regulatory compliance in United Kingdom London. The role of the Software Engineer has evolved beyond writing efficient code; it now encompasses ensuring that every line of code contributes to legal and ethical standards. The challenges faced, particularly regarding data residency and encryption, highlight the complexities inherent in operating within this jurisdiction.</w:t>
      </w:r>
    </w:p>
    <w:p>
      <w:pPr>
        <w:pStyle w:val="BodyText"/>
      </w:pPr>
      <w:r>
        <w:t xml:space="preserve">Moreover, the hybrid Agile methodology proved effective in balancing speed with compliance. By embedding compliance checks into the CI/CD pipeline, we reduced the overhead associated with regulatory audits while maintaining rapid development cycles.</w:t>
      </w:r>
    </w:p>
    <w:bookmarkEnd w:id="34"/>
    <w:bookmarkStart w:id="35" w:name="conclusion"/>
    <w:p>
      <w:pPr>
        <w:pStyle w:val="Heading2"/>
      </w:pPr>
      <w:r>
        <w:t xml:space="preserve">9. Conclusion</w:t>
      </w:r>
    </w:p>
    <w:p>
      <w:pPr>
        <w:pStyle w:val="FirstParagraph"/>
      </w:pPr>
      <w:r>
        <w:t xml:space="preserve">In conclusion, this Lab Report demonstrates that successful software engineering in United Kingdom London requires a multidisciplinary approach that integrates technical innovation with strict regulatory adherence. The findings confirm that when Software Engineers are empowered and equipped with the right tools and knowledge, they can deliver robust, secure, and compliant solutions even in the most demanding financial environments.</w:t>
      </w:r>
    </w:p>
    <w:p>
      <w:pPr>
        <w:pStyle w:val="BodyText"/>
      </w:pPr>
      <w:r>
        <w:t xml:space="preserve">Future work will focus on integrating artificial intelligence for predictive risk analysis, ensuring that our systems remain at the forefront of technological advancement while continuing to meet the high standards expected in United Kingdom London.</w:t>
      </w:r>
    </w:p>
    <w:bookmarkEnd w:id="35"/>
    <w:bookmarkStart w:id="36" w:name="references"/>
    <w:p>
      <w:pPr>
        <w:pStyle w:val="Heading2"/>
      </w:pPr>
      <w:r>
        <w:t xml:space="preserve">10. References</w:t>
      </w:r>
    </w:p>
    <w:p>
      <w:pPr>
        <w:numPr>
          <w:ilvl w:val="0"/>
          <w:numId w:val="1003"/>
        </w:numPr>
        <w:pStyle w:val="Compact"/>
      </w:pPr>
      <w:r>
        <w:t xml:space="preserve">FCA Handbook: Principles for Businesses.</w:t>
      </w:r>
    </w:p>
    <w:p>
      <w:pPr>
        <w:numPr>
          <w:ilvl w:val="0"/>
          <w:numId w:val="1003"/>
        </w:numPr>
        <w:pStyle w:val="Compact"/>
      </w:pPr>
      <w:r>
        <w:t xml:space="preserve">UK General Data Protection Regulation (UK GDPR).</w:t>
      </w:r>
    </w:p>
    <w:p>
      <w:pPr>
        <w:numPr>
          <w:ilvl w:val="0"/>
          <w:numId w:val="1003"/>
        </w:numPr>
        <w:pStyle w:val="Compact"/>
      </w:pPr>
      <w:r>
        <w:t xml:space="preserve">National Cyber Security Centre (NCSC) Guidelines for Software Engineers.</w:t>
      </w:r>
    </w:p>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Software Engineering Practices in the United Kingdom London Context</dc:title>
  <dc:creator/>
  <dc:language>en</dc:language>
  <cp:keywords/>
  <dcterms:created xsi:type="dcterms:W3CDTF">2026-07-29T06:34:23Z</dcterms:created>
  <dcterms:modified xsi:type="dcterms:W3CDTF">2026-07-29T06:34:23Z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