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The</w:t>
      </w:r>
      <w:r>
        <w:t xml:space="preserve"> </w:t>
      </w:r>
      <w:r>
        <w:t xml:space="preserve">Efficacy</w:t>
      </w:r>
      <w:r>
        <w:t xml:space="preserve"> </w:t>
      </w:r>
      <w:r>
        <w:t xml:space="preserve">of</w:t>
      </w:r>
      <w:r>
        <w:t xml:space="preserve"> </w:t>
      </w:r>
      <w:r>
        <w:t xml:space="preserve">Special</w:t>
      </w:r>
      <w:r>
        <w:t xml:space="preserve"> </w:t>
      </w:r>
      <w:r>
        <w:t xml:space="preserve">Education</w:t>
      </w:r>
      <w:r>
        <w:t xml:space="preserve"> </w:t>
      </w:r>
      <w:r>
        <w:t xml:space="preserve">Teaching</w:t>
      </w:r>
      <w:r>
        <w:t xml:space="preserve"> </w:t>
      </w:r>
      <w:r>
        <w:t xml:space="preserve">Methodologies</w:t>
      </w:r>
      <w:r>
        <w:t xml:space="preserve"> </w:t>
      </w:r>
      <w:r>
        <w:t xml:space="preserve">in</w:t>
      </w:r>
      <w:r>
        <w:t xml:space="preserve"> </w:t>
      </w:r>
      <w:r>
        <w:t xml:space="preserve">Urban</w:t>
      </w:r>
      <w:r>
        <w:t xml:space="preserve"> </w:t>
      </w:r>
      <w:r>
        <w:t xml:space="preserve">India</w:t>
      </w:r>
    </w:p>
    <w:bookmarkStart w:id="31" w:name="Xec366b2669f237df81c8d1b3b51028d37cd80a4"/>
    <w:p>
      <w:pPr>
        <w:pStyle w:val="Heading1"/>
      </w:pPr>
      <w:r>
        <w:t xml:space="preserve">Laboratory Report on Special Education Teacher Implementation Strategies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Mumbai, Maharashtra, India</w:t>
      </w:r>
      <w:r>
        <w:br/>
      </w:r>
      <w:r>
        <w:rPr>
          <w:bCs/>
          <w:b/>
        </w:rPr>
        <w:t xml:space="preserve">Investigator:</w:t>
      </w:r>
      <w:r>
        <w:t xml:space="preserve"> </w:t>
      </w:r>
      <w:r>
        <w:t xml:space="preserve">Department of Inclusive Pedagogy Research Unit</w:t>
      </w:r>
    </w:p>
    <w:bookmarkStart w:id="20" w:name="abstract"/>
    <w:p>
      <w:pPr>
        <w:pStyle w:val="Heading3"/>
      </w:pPr>
      <w:r>
        <w:t xml:space="preserve">Abstract</w:t>
      </w:r>
    </w:p>
    <w:p>
      <w:pPr>
        <w:pStyle w:val="FirstParagraph"/>
      </w:pPr>
      <w:r>
        <w:t xml:space="preserve">This laboratory report details a comprehensive observational and analytical study conducted within the dense urban landscape of</w:t>
      </w:r>
      <w:r>
        <w:t xml:space="preserve"> </w:t>
      </w:r>
      <w:r>
        <w:rPr>
          <w:bCs/>
          <w:b/>
        </w:rPr>
        <w:t xml:space="preserve">Mumbai, India</w:t>
      </w:r>
      <w:r>
        <w:t xml:space="preserve">. The primary objective was to evaluate the operational efficacy of a specialized</w:t>
      </w:r>
      <w:r>
        <w:t xml:space="preserve"> </w:t>
      </w:r>
      <w:r>
        <w:rPr>
          <w:bCs/>
          <w:b/>
        </w:rPr>
        <w:t xml:space="preserve">Special Education Teacher</w:t>
      </w:r>
      <w:r>
        <w:t xml:space="preserve"> </w:t>
      </w:r>
      <w:r>
        <w:t xml:space="preserve">within a mixed-ability classroom setting. Given Mumbai’s rapid urbanization and diverse socioeconomic fabric, the integration of inclusive education policies presents unique logistical and pedagogical challenges. This report analyzes the specific interventions employed, environmental constraints, and student outcomes to determine best practices for neurodiverse learners in metropolitan Indian schools.</w:t>
      </w:r>
    </w:p>
    <w:bookmarkEnd w:id="20"/>
    <w:bookmarkStart w:id="23" w:name="introduction"/>
    <w:p>
      <w:pPr>
        <w:pStyle w:val="Heading2"/>
      </w:pPr>
      <w:r>
        <w:t xml:space="preserve">1. Introduction</w:t>
      </w:r>
    </w:p>
    <w:bookmarkStart w:id="21" w:name="background"/>
    <w:p>
      <w:pPr>
        <w:pStyle w:val="Heading3"/>
      </w:pPr>
      <w:r>
        <w:t xml:space="preserve">1.1 Background</w:t>
      </w:r>
    </w:p>
    <w:p>
      <w:pPr>
        <w:pStyle w:val="FirstParagraph"/>
      </w:pPr>
      <w:r>
        <w:t xml:space="preserve">The Right of Children to Free and Compulsory Education Act in</w:t>
      </w:r>
      <w:r>
        <w:t xml:space="preserve"> </w:t>
      </w:r>
      <w:r>
        <w:rPr>
          <w:bCs/>
          <w:b/>
        </w:rPr>
        <w:t xml:space="preserve">Mumbai, India</w:t>
      </w:r>
      <w:r>
        <w:t xml:space="preserve">, mandates inclusive education for children with disabilities (CwDs). However, the transition from policy to practice remains complex. The urban density of Mumbai creates a unique environment where resources are often scarce despite high concentrations of educational institutions. This study focuses on the role of the</w:t>
      </w:r>
      <w:r>
        <w:t xml:space="preserve"> </w:t>
      </w:r>
      <w:r>
        <w:rPr>
          <w:bCs/>
          <w:b/>
        </w:rPr>
        <w:t xml:space="preserve">Special Education Teacher</w:t>
      </w:r>
      <w:r>
        <w:t xml:space="preserve"> </w:t>
      </w:r>
      <w:r>
        <w:t xml:space="preserve">as a pivotal agent in bridging this gap.</w:t>
      </w:r>
    </w:p>
    <w:bookmarkEnd w:id="21"/>
    <w:bookmarkStart w:id="22" w:name="objectives"/>
    <w:p>
      <w:pPr>
        <w:pStyle w:val="Heading3"/>
      </w:pPr>
      <w:r>
        <w:t xml:space="preserve">1.2 Objectives</w:t>
      </w:r>
    </w:p>
    <w:p>
      <w:pPr>
        <w:numPr>
          <w:ilvl w:val="0"/>
          <w:numId w:val="1001"/>
        </w:numPr>
        <w:pStyle w:val="Compact"/>
      </w:pPr>
      <w:r>
        <w:t xml:space="preserve">To assess how a</w:t>
      </w:r>
      <w:r>
        <w:t xml:space="preserve"> </w:t>
      </w:r>
      <w:r>
        <w:rPr>
          <w:bCs/>
          <w:b/>
        </w:rPr>
        <w:t xml:space="preserve">Special Education Teacher</w:t>
      </w:r>
    </w:p>
    <w:p>
      <w:pPr>
        <w:numPr>
          <w:ilvl w:val="0"/>
          <w:numId w:val="1001"/>
        </w:numPr>
        <w:pStyle w:val="Compact"/>
      </w:pPr>
      <w:r>
        <w:t xml:space="preserve">To evaluate the impact of environmental factors specific to Mumbai classrooms on student engagement.</w:t>
      </w:r>
    </w:p>
    <w:p>
      <w:pPr>
        <w:numPr>
          <w:ilvl w:val="0"/>
          <w:numId w:val="1001"/>
        </w:numPr>
        <w:pStyle w:val="Compact"/>
      </w:pPr>
      <w:r>
        <w:t xml:space="preserve">To document behavioral interventions used by the teacher in high-noise, high-density settings typical of Indian urban schools.</w:t>
      </w:r>
    </w:p>
    <w:bookmarkEnd w:id="22"/>
    <w:bookmarkEnd w:id="23"/>
    <w:bookmarkStart w:id="26" w:name="methodology"/>
    <w:p>
      <w:pPr>
        <w:pStyle w:val="Heading2"/>
      </w:pPr>
      <w:r>
        <w:t xml:space="preserve">2. Methodology</w:t>
      </w:r>
    </w:p>
    <w:bookmarkStart w:id="24" w:name="laboratory-setting-and-subjects"/>
    <w:p>
      <w:pPr>
        <w:pStyle w:val="Heading3"/>
      </w:pPr>
      <w:r>
        <w:t xml:space="preserve">2.1 Laboratory Setting and Subjects</w:t>
      </w:r>
    </w:p>
    <w:p>
      <w:pPr>
        <w:pStyle w:val="FirstParagraph"/>
      </w:pPr>
      <w:r>
        <w:t xml:space="preserve">The "laboratory" for this study was a Grade 4 classroom in a mid-sized private unaided school located in the suburban district of Mumbai, India. The classroom contained thirty students, five of whom were diagnosed with learning disabilities. The primary subject of observation was the designated</w:t>
      </w:r>
      <w:r>
        <w:t xml:space="preserve"> </w:t>
      </w:r>
      <w:r>
        <w:rPr>
          <w:bCs/>
          <w:b/>
        </w:rPr>
        <w:t xml:space="preserve">Special Education Teacher</w:t>
      </w:r>
      <w:r>
        <w:t xml:space="preserve">, who provided pull-out support and co-teaching assistance.</w:t>
      </w:r>
    </w:p>
    <w:bookmarkEnd w:id="24"/>
    <w:bookmarkStart w:id="25" w:name="data-collection-instruments"/>
    <w:p>
      <w:pPr>
        <w:pStyle w:val="Heading3"/>
      </w:pPr>
      <w:r>
        <w:t xml:space="preserve">2.2 Data Collection Instruments</w:t>
      </w:r>
    </w:p>
    <w:p>
      <w:pPr>
        <w:pStyle w:val="FirstParagraph"/>
      </w:pPr>
      <w:r>
        <w:t xml:space="preserve">Data was collected using three primary methods:</w:t>
      </w:r>
    </w:p>
    <w:p>
      <w:pPr>
        <w:numPr>
          <w:ilvl w:val="0"/>
          <w:numId w:val="1002"/>
        </w:numPr>
        <w:pStyle w:val="Compact"/>
      </w:pPr>
      <w:r>
        <w:rPr>
          <w:bCs/>
          <w:b/>
        </w:rPr>
        <w:t xml:space="preserve">OBSERVATIONAL PROTOCOLS:</w:t>
      </w:r>
      <w:r>
        <w:t xml:space="preserve"> </w:t>
      </w:r>
      <w:r>
        <w:t xml:space="preserve">Structured checks on student behavior frequency during math and language arts periods.</w:t>
      </w:r>
    </w:p>
    <w:p>
      <w:pPr>
        <w:numPr>
          <w:ilvl w:val="0"/>
          <w:numId w:val="1002"/>
        </w:numPr>
        <w:pStyle w:val="Compact"/>
      </w:pPr>
      <w:r>
        <w:rPr>
          <w:bCs/>
          <w:b/>
        </w:rPr>
        <w:t xml:space="preserve">SURVEYS:</w:t>
      </w:r>
      <w:r>
        <w:t xml:space="preserve"> </w:t>
      </w:r>
      <w:r>
        <w:t xml:space="preserve">Feedback from general education teachers in Mumbai regarding the collaboration with the</w:t>
      </w:r>
      <w:r>
        <w:t xml:space="preserve"> </w:t>
      </w:r>
      <w:r>
        <w:rPr>
          <w:bCs/>
          <w:b/>
        </w:rPr>
        <w:t xml:space="preserve">Special Education Teacher</w:t>
      </w:r>
      <w:r>
        <w:t xml:space="preserve">.</w:t>
      </w:r>
    </w:p>
    <w:p>
      <w:pPr>
        <w:numPr>
          <w:ilvl w:val="0"/>
          <w:numId w:val="1002"/>
        </w:numPr>
        <w:pStyle w:val="Compact"/>
      </w:pPr>
      <w:r>
        <w:rPr>
          <w:bCs/>
          <w:b/>
        </w:rPr>
        <w:t xml:space="preserve">AUDIOVISUAL RECORDINGS:</w:t>
      </w:r>
      <w:r>
        <w:t xml:space="preserve"> </w:t>
      </w:r>
      <w:r>
        <w:t xml:space="preserve">Analysis of classroom noise levels (decibel readings) to correlate environmental stress with student behavioral incidents.</w:t>
      </w:r>
    </w:p>
    <w:bookmarkEnd w:id="25"/>
    <w:bookmarkEnd w:id="26"/>
    <w:bookmarkStart w:id="30" w:name="results-and-observations"/>
    <w:p>
      <w:pPr>
        <w:pStyle w:val="Heading2"/>
      </w:pPr>
      <w:r>
        <w:t xml:space="preserve">3. Results and Observations</w:t>
      </w:r>
    </w:p>
    <w:bookmarkStart w:id="27" w:name="X90cfaf8a0500c738a8d5d23f78e9f0382a16948"/>
    <w:p>
      <w:pPr>
        <w:pStyle w:val="Heading3"/>
      </w:pPr>
      <w:r>
        <w:t xml:space="preserve">3.1 Environmental Stressors in Mumbai Classrooms</w:t>
      </w:r>
    </w:p>
    <w:p>
      <w:pPr>
        <w:pStyle w:val="FirstParagraph"/>
      </w:pPr>
      <w:r>
        <w:t xml:space="preserve">The data indicated a strong correlation between external environmental stimuli—specifically traffic noise common in</w:t>
      </w:r>
      <w:r>
        <w:t xml:space="preserve"> </w:t>
      </w:r>
      <w:r>
        <w:rPr>
          <w:bCs/>
          <w:b/>
        </w:rPr>
        <w:t xml:space="preserve">Mumbai, India</w:t>
      </w:r>
      <w:r>
        <w:t xml:space="preserve">, and internal classroom crowding—and behavioral dysregulation among students with ASD. The</w:t>
      </w:r>
      <w:r>
        <w:t xml:space="preserve"> </w:t>
      </w:r>
      <w:r>
        <w:rPr>
          <w:bCs/>
          <w:b/>
        </w:rPr>
        <w:t xml:space="preserve">Special Education Teacher</w:t>
      </w:r>
      <w:r>
        <w:t xml:space="preserve"> </w:t>
      </w:r>
      <w:r>
        <w:t xml:space="preserve">identified these factors as primary triggers for anxiety.</w:t>
      </w:r>
    </w:p>
    <w:bookmarkEnd w:id="27"/>
    <w:bookmarkStart w:id="28" w:name="intervention-efficacy"/>
    <w:p>
      <w:pPr>
        <w:pStyle w:val="Heading3"/>
      </w:pPr>
      <w:r>
        <w:t xml:space="preserve">3.2 Intervention Efficacy</w:t>
      </w:r>
    </w:p>
    <w:p>
      <w:pPr>
        <w:pStyle w:val="FirstParagraph"/>
      </w:pPr>
      <w:r>
        <w:t xml:space="preserve">The following table summarizes the pre- and post-intervention behaviors of two representative students under the guidance of the</w:t>
      </w:r>
      <w:r>
        <w:t xml:space="preserve"> </w:t>
      </w:r>
      <w:r>
        <w:rPr>
          <w:bCs/>
          <w:b/>
        </w:rPr>
        <w:t xml:space="preserve">Special Education Teacher</w:t>
      </w:r>
      <w:r>
        <w:t xml:space="preserve">:</w:t>
      </w:r>
    </w:p>
    <w:p>
      <w:pPr>
        <w:pStyle w:val="BodyText"/>
      </w:pPr>
      <w:r>
        <w:t xml:space="preserve">Metric</w:t>
      </w:r>
    </w:p>
    <w:p>
      <w:pPr>
        <w:pStyle w:val="BodyText"/>
      </w:pPr>
      <w:r>
        <w:t xml:space="preserve">Prior to Intervention (Baseline)</w:t>
      </w:r>
    </w:p>
    <w:p>
      <w:pPr>
        <w:pStyle w:val="BodyText"/>
      </w:pPr>
      <w:r>
        <w:t xml:space="preserve">Post-Implementation (3 Months)</w:t>
      </w:r>
    </w:p>
    <w:p>
      <w:pPr>
        <w:pStyle w:val="BodyText"/>
      </w:pPr>
      <w:r>
        <w:t xml:space="preserve">&gt;</w:t>
      </w:r>
    </w:p>
    <w:p>
      <w:pPr>
        <w:pStyle w:val="BodyText"/>
      </w:pPr>
      <w:r>
        <w:t xml:space="preserve">&gt;</w:t>
      </w:r>
    </w:p>
    <w:p>
      <w:pPr>
        <w:pStyle w:val="BodyText"/>
      </w:pPr>
      <w:r>
        <w:t xml:space="preserve">&gt;</w:t>
      </w:r>
    </w:p>
    <w:p>
      <w:pPr>
        <w:pStyle w:val="BodyText"/>
      </w:pPr>
      <w:r>
        <w:t xml:space="preserve">Average Attention Span</w:t>
      </w:r>
    </w:p>
    <w:p>
      <w:pPr>
        <w:pStyle w:val="BodyText"/>
      </w:pPr>
      <w:r>
        <w:t xml:space="preserve">8 Minutes</w:t>
      </w:r>
    </w:p>
    <w:p>
      <w:pPr>
        <w:pStyle w:val="BodyText"/>
      </w:pPr>
      <w:r>
        <w:t xml:space="preserve">15 Minutes</w:t>
      </w:r>
    </w:p>
    <w:p>
      <w:pPr>
        <w:pStyle w:val="BodyText"/>
      </w:pPr>
      <w:r>
        <w:t xml:space="preserve">Frequency of Emotional Meltsd&gt;</w:t>
      </w:r>
      <w:r>
        <w:t xml:space="preserve">2 per week (High Intensity)</w:t>
      </w:r>
    </w:p>
    <w:p>
      <w:pPr>
        <w:pStyle w:val="BodyText"/>
      </w:pPr>
      <w:r>
        <w:t xml:space="preserve">/tbody&gt;&gt;</w:t>
      </w:r>
    </w:p>
    <w:p>
      <w:pPr>
        <w:pStyle w:val="BodyText"/>
      </w:pPr>
      <w:r>
        <w:t xml:space="preserve">&gt;</w:t>
      </w:r>
    </w:p>
    <w:bookmarkEnd w:id="28"/>
    <w:bookmarkStart w:id="29" w:name="X7f35aad05aae5729d8f0ff0b018c2b490b04507"/>
    <w:p>
      <w:pPr>
        <w:pStyle w:val="Heading3"/>
      </w:pPr>
      <w:r>
        <w:t xml:space="preserve">3.3 The Role of the Special Education Teacher</w:t>
      </w:r>
    </w:p>
    <w:p>
      <w:pPr>
        <w:pStyle w:val="FirstParagraph"/>
      </w:pPr>
      <w:r>
        <w:t xml:space="preserve">The analysis reveals that the</w:t>
      </w:r>
      <w:r>
        <w:t xml:space="preserve"> </w:t>
      </w:r>
      <w:r>
        <w:rPr>
          <w:bCs/>
          <w:b/>
        </w:rPr>
        <w:t xml:space="preserve">Special Education Teacher</w:t>
      </w:r>
    </w:p>
    <w:p>
      <w:pPr>
        <w:pStyle w:val="BodyText"/>
      </w:pPr>
      <w:r>
        <w:t xml:space="preserve">&gt;</w:t>
      </w:r>
    </w:p>
    <w:p>
      <w:pPr>
        <w:pStyle w:val="BodyText"/>
      </w:pPr>
      <w:r>
        <w:t xml:space="preserve">Creating "Sensory Corners" within the crowded Mumbai classroom to allow for de-escalation.</w:t>
      </w:r>
    </w:p>
    <w:p>
      <w:pPr>
        <w:pStyle w:val="BodyText"/>
      </w:pPr>
      <w:r>
        <w:t xml:space="preserve">&gt;</w:t>
      </w:r>
    </w:p>
    <w:p>
      <w:pPr>
        <w:pStyle w:val="BodyText"/>
      </w:pPr>
      <w:r>
        <w:t xml:space="preserve">Implementing visual schedules that transcended language barriers, crucial in the multicultural context of India.</w:t>
      </w:r>
    </w:p>
    <w:p>
      <w:pPr>
        <w:pStyle w:val="BodyText"/>
      </w:pPr>
      <w:r>
        <w:t xml:space="preserve">&gt;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The Efficacy of Special Education Teaching Methodologies in Urban India</dc:title>
  <dc:creator/>
  <cp:keywords/>
  <dcterms:created xsi:type="dcterms:W3CDTF">2026-07-29T14:28:33Z</dcterms:created>
  <dcterms:modified xsi:type="dcterms:W3CDTF">2026-07-29T14:28:33Z</dcterms:modified>
</cp:coreProperties>
</file>

<file path=docProps/custom.xml><?xml version="1.0" encoding="utf-8"?>
<Properties xmlns="http://schemas.openxmlformats.org/officeDocument/2006/custom-properties" xmlns:vt="http://schemas.openxmlformats.org/officeDocument/2006/docPropsVTypes"/>
</file>