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Deployment</w:t>
      </w:r>
      <w:r>
        <w:t xml:space="preserve"> </w:t>
      </w:r>
      <w:r>
        <w:t xml:space="preserve">in</w:t>
      </w:r>
      <w:r>
        <w:t xml:space="preserve"> </w:t>
      </w:r>
      <w:r>
        <w:t xml:space="preserve">Japan,</w:t>
      </w:r>
      <w:r>
        <w:t xml:space="preserve"> </w:t>
      </w:r>
      <w:r>
        <w:t xml:space="preserve">Kyoto</w:t>
      </w:r>
    </w:p>
    <w:bookmarkStart w:id="21" w:name="X8a0e9b40e008adc502fe464b67444a992364711"/>
    <w:p>
      <w:pPr>
        <w:pStyle w:val="Heading1"/>
      </w:pPr>
      <w:r>
        <w:t xml:space="preserve">Laboratory Report on Educational Integration Strategies</w:t>
      </w:r>
    </w:p>
    <w:bookmarkStart w:id="20" w:name="X56acacd2c09e1ad8dc71fb6949dfbe46a03db09"/>
    <w:p>
      <w:pPr>
        <w:pStyle w:val="Heading2"/>
      </w:pPr>
      <w:r>
        <w:t xml:space="preserve">Subject: Special Education Teacher Efficacy in Kyoto, Japan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Kyoto Institute of Inclusive Pedagogy Research Center</w:t>
      </w:r>
    </w:p>
    <w:p>
      <w:pPr>
        <w:pStyle w:val="BodyText"/>
      </w:pPr>
      <w:r>
        <w:rPr>
          <w:bCs/>
          <w:b/>
        </w:rPr>
        <w:t xml:space="preserve">Status:</w:t>
      </w:r>
      <w:r>
        <w:t xml:space="preserve"> </w:t>
      </w:r>
      <w:r>
        <w:t xml:space="preserve">Final Review Document</w:t>
      </w:r>
    </w:p>
    <w:bookmarkEnd w:id="20"/>
    <w:bookmarkEnd w:id="21"/>
    <w:bookmarkStart w:id="22" w:name="X04a2f15b178714f4be5736e981f6a82a9d825b3"/>
    <w:p>
      <w:pPr>
        <w:pStyle w:val="Heading3"/>
      </w:pPr>
      <w:r>
        <w:t xml:space="preserve">1. Executive Summary and Introduction to the Lab Report Context</w:t>
      </w:r>
    </w:p>
    <w:p>
      <w:pPr>
        <w:pStyle w:val="FirstParagraph"/>
      </w:pPr>
      <w:r>
        <w:t xml:space="preserve">This Lab Report serves as a comprehensive analysis of the pedagogical frameworks, cultural adaptations, and operational methodologies required for a Special Education Teacher operating within the specific socio-educational ecosystem of Japan Kyoto. The primary objective of this document is to delineate best practices for inclusive education when bridging Western special needs methodologies with traditional Japanese educational structures. Kyoto, being a city that houses both ancient historical preservation sites and modern technological hubs, presents a unique case study for the deployment of Special Education resources.</w:t>
      </w:r>
    </w:p>
    <w:p>
      <w:pPr>
        <w:pStyle w:val="BodyText"/>
      </w:pPr>
      <w:r>
        <w:t xml:space="preserve">The term "Lab Report" in this context refers to the systematic documentation of observed teaching strategies, student outcomes, and environmental assessments conducted over an eighteen-month period. The focus remains strictly on the role of the Special Education Teacher as an agent of change within Kyoto’s public and private school systems.</w:t>
      </w:r>
    </w:p>
    <w:bookmarkEnd w:id="22"/>
    <w:bookmarkStart w:id="25" w:name="X32bc6dd92db4992c3510006c891334d2e6f8de1"/>
    <w:p>
      <w:pPr>
        <w:pStyle w:val="Heading3"/>
      </w:pPr>
      <w:r>
        <w:t xml:space="preserve">2. Methodology: The Japan Kyoto Pilot Program</w:t>
      </w:r>
    </w:p>
    <w:p>
      <w:pPr>
        <w:pStyle w:val="FirstParagraph"/>
      </w:pPr>
      <w:r>
        <w:t xml:space="preserve">The data presented in this Lab Report was collected through a mixed-methods approach involving qualitative interviews with local faculty and quantitative assessments of student progress. The study site was limited to the prefecture of Japan Kyoto, chosen for its high density of international residents and its status as a center for traditional arts and modern academia.</w:t>
      </w:r>
    </w:p>
    <w:bookmarkStart w:id="23" w:name="subject-selection"/>
    <w:p>
      <w:pPr>
        <w:pStyle w:val="Heading4"/>
      </w:pPr>
      <w:r>
        <w:t xml:space="preserve">2.1 Subject Selection</w:t>
      </w:r>
    </w:p>
    <w:p>
      <w:pPr>
        <w:pStyle w:val="FirstParagraph"/>
      </w:pPr>
      <w:r>
        <w:t xml:space="preserve">The cohort included students aged 6 to 18 diagnosed with Autism Spectrum Disorder (ASD), Attention Deficit Hyperactivity Disorder (ADHD), and specific learning disabilities. These students were enrolled in both standard public schools and specialized support classes within Japan Kyoto.</w:t>
      </w:r>
    </w:p>
    <w:bookmarkEnd w:id="23"/>
    <w:bookmarkStart w:id="24" w:name="X7f35aad05aae5729d8f0ff0b018c2b490b04507"/>
    <w:p>
      <w:pPr>
        <w:pStyle w:val="Heading4"/>
      </w:pPr>
      <w:r>
        <w:t xml:space="preserve">2.2 The Role of the Special Education Teacher</w:t>
      </w:r>
    </w:p>
    <w:p>
      <w:pPr>
        <w:pStyle w:val="FirstParagraph"/>
      </w:pPr>
      <w:r>
        <w:t xml:space="preserve">In this study, the Special Education Teacher was not merely a support staff member but an integral curriculum designer. Unlike traditional models where special needs are handled in isolation, this Lab Report explores a co-teaching model. The Special Education Teacher collaborated daily with general education teachers to adapt lesson plans, ensuring that students in Japan Kyoto could access the standard curriculum while receiving necessary accommodations.</w:t>
      </w:r>
    </w:p>
    <w:bookmarkEnd w:id="24"/>
    <w:bookmarkEnd w:id="25"/>
    <w:bookmarkStart w:id="26" w:name="Xfaa74e9fe27c10932fdcee7417d42e0b1fb920b"/>
    <w:p>
      <w:pPr>
        <w:pStyle w:val="Heading3"/>
      </w:pPr>
      <w:r>
        <w:t xml:space="preserve">3. Cultural and Environmental Analysis of Japan Kyoto</w:t>
      </w:r>
    </w:p>
    <w:p>
      <w:pPr>
        <w:pStyle w:val="FirstParagraph"/>
      </w:pPr>
      <w:r>
        <w:t xml:space="preserve">A critical component of this Lab Report is the contextual understanding of Japan Kyoto. The city possesses a distinct cultural rhythm that differs significantly from Tokyo or Osaka. The emphasis on harmony (Wa), collective responsibility, and respect for hierarchy impacts how special needs are perceived by the community.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Cultural Factor</w:t>
            </w:r>
          </w:p>
        </w:tc>
        <w:tc>
          <w:tcPr/>
          <w:p>
            <w:pPr>
              <w:pStyle w:val="Compact"/>
              <w:jc w:val="left"/>
            </w:pPr>
            <w:r>
              <w:t xml:space="preserve">Impact on Special Education</w:t>
            </w:r>
          </w:p>
        </w:tc>
        <w:tc>
          <w:tcPr/>
          <w:p>
            <w:pPr>
              <w:pStyle w:val="Compact"/>
              <w:jc w:val="left"/>
            </w:pPr>
            <w:r>
              <w:t xml:space="preserve">Mitigation Strategy</w:t>
            </w:r>
          </w:p>
        </w:tc>
      </w:tr>
      <w:tr>
        <w:tc>
          <w:tcPr/>
          <w:p>
            <w:pPr>
              <w:pStyle w:val="Compact"/>
              <w:jc w:val="left"/>
            </w:pPr>
            <w:r>
              <w:rPr>
                <w:bCs/>
                <w:b/>
              </w:rPr>
              <w:t xml:space="preserve">Social Stigma:</w:t>
            </w:r>
          </w:p>
        </w:tc>
        <w:tc>
          <w:tcPr/>
          <w:p>
            <w:pPr>
              <w:pStyle w:val="Compact"/>
              <w:jc w:val="left"/>
            </w:pPr>
            <w:r>
              <w:t xml:space="preserve">In some rural districts of Japan Kyoto, learning disabilities are still viewed as a family shame rather than a medical or educational condition.</w:t>
            </w:r>
          </w:p>
        </w:tc>
        <w:tc>
          <w:tcPr/>
          <w:p>
            <w:pPr>
              <w:pStyle w:val="Compact"/>
              <w:jc w:val="left"/>
            </w:pPr>
            <w:r>
              <w:t xml:space="preserve">The Special Education Teacher acts as an educator and advocate for families, providing psychoeducation to reduce stigma.</w:t>
            </w:r>
          </w:p>
        </w:tc>
      </w:tr>
      <w:tr>
        <w:tc>
          <w:tcPr/>
          <w:p>
            <w:pPr>
              <w:pStyle w:val="Compact"/>
              <w:jc w:val="left"/>
            </w:pPr>
            <w:r>
              <w:rPr>
                <w:bCs/>
                <w:b/>
              </w:rPr>
              <w:t xml:space="preserve">Homogeneity:</w:t>
            </w:r>
          </w:p>
        </w:tc>
        <w:tc>
          <w:tcPr/>
          <w:p>
            <w:pPr>
              <w:pStyle w:val="Compact"/>
              <w:jc w:val="left"/>
            </w:pPr>
            <w:r>
              <w:t xml:space="preserve">The student body is largely homogeneous, leading to a lack of familiarity with neurodiversity among peers.</w:t>
            </w:r>
          </w:p>
        </w:tc>
        <w:tc>
          <w:tcPr/>
          <w:p>
            <w:pPr>
              <w:pStyle w:val="Compact"/>
              <w:jc w:val="left"/>
            </w:pPr>
            <w:r>
              <w:t xml:space="preserve">Inclusion workshops led by the Special Education Teacher promote peer-to-peer understanding and empathy.</w:t>
            </w:r>
          </w:p>
        </w:tc>
      </w:tr>
      <w:tr>
        <w:tc>
          <w:tcPr/>
          <w:p>
            <w:pPr>
              <w:pStyle w:val="Compact"/>
              <w:jc w:val="left"/>
            </w:pPr>
            <w:r>
              <w:rPr>
                <w:bCs/>
                <w:b/>
              </w:rPr>
              <w:t xml:space="preserve">Rural-Urban Divide:</w:t>
            </w:r>
          </w:p>
        </w:tc>
        <w:tc>
          <w:tcPr/>
          <w:p>
            <w:pPr>
              <w:pStyle w:val="Compact"/>
              <w:jc w:val="left"/>
            </w:pPr>
            <w:r>
              <w:t xml:space="preserve">Kyoto Prefecture contains both dense urban centers and remote mountain villages, creating access disparities.</w:t>
            </w:r>
          </w:p>
        </w:tc>
        <w:tc>
          <w:tcPr/>
          <w:p>
            <w:pPr>
              <w:pStyle w:val="Compact"/>
              <w:jc w:val="left"/>
            </w:pPr>
            <w:r>
              <w:t xml:space="preserve">The Lab Report identifies tele-health support as a viable supplement for Special Education Teachers in remote areas.</w:t>
            </w:r>
          </w:p>
        </w:tc>
      </w:tr>
    </w:tbl>
    <w:bookmarkEnd w:id="26"/>
    <w:bookmarkStart w:id="30" w:name="X51b19b6c8144f5f7de68cd71f903b1cb42b058f"/>
    <w:p>
      <w:pPr>
        <w:pStyle w:val="Heading3"/>
      </w:pPr>
      <w:r>
        <w:t xml:space="preserve">4. Pedagogical Findings and Intervention Strategies</w:t>
      </w:r>
    </w:p>
    <w:p>
      <w:pPr>
        <w:pStyle w:val="FirstParagraph"/>
      </w:pPr>
      <w:r>
        <w:t xml:space="preserve">The core findings of this Lab Report highlight the necessity of visual supports and structured environments, which align well with Japanese aesthetic appreciation for order and clarity. The Special Education Teacher in Japan Kyoto successfully implemented the following strategies:</w:t>
      </w:r>
    </w:p>
    <w:bookmarkStart w:id="27" w:name="visual-schedules-and-transitions"/>
    <w:p>
      <w:pPr>
        <w:pStyle w:val="Heading4"/>
      </w:pPr>
      <w:r>
        <w:t xml:space="preserve">4.1 Visual Schedules and Transitions</w:t>
      </w:r>
    </w:p>
    <w:p>
      <w:pPr>
        <w:pStyle w:val="FirstParagraph"/>
      </w:pPr>
      <w:r>
        <w:t xml:space="preserve">Data indicates that students responded positively to visual timetables. In the context of Japan Kyoto, where transitions between indoor shrine visits and outdoor nature walks are common in field trips, clear visual cues helped reduce anxiety for students with sensory processing disorders.</w:t>
      </w:r>
    </w:p>
    <w:bookmarkEnd w:id="27"/>
    <w:bookmarkStart w:id="28" w:name="language-barriers-and-communication"/>
    <w:p>
      <w:pPr>
        <w:pStyle w:val="Heading4"/>
      </w:pPr>
      <w:r>
        <w:t xml:space="preserve">4.2 Language Barriers and Communication</w:t>
      </w:r>
    </w:p>
    <w:p>
      <w:pPr>
        <w:pStyle w:val="FirstParagraph"/>
      </w:pPr>
      <w:r>
        <w:t xml:space="preserve">A significant challenge identified in this Lab Report is the language barrier. Many Special Education Teachers imported from Western countries may not possess fluency in Japanese, which complicates communication with parents and school administrators in Japan Kyoto. The report recommends a bilingual support assistant model to bridge this gap.</w:t>
      </w:r>
    </w:p>
    <w:bookmarkEnd w:id="28"/>
    <w:bookmarkStart w:id="29" w:name="sensory-friendly-design"/>
    <w:p>
      <w:pPr>
        <w:pStyle w:val="Heading4"/>
      </w:pPr>
      <w:r>
        <w:t xml:space="preserve">4.3 Sensory-Friendly Design</w:t>
      </w:r>
    </w:p>
    <w:p>
      <w:pPr>
        <w:pStyle w:val="FirstParagraph"/>
      </w:pPr>
      <w:r>
        <w:t xml:space="preserve">Kyoto’s traditional architecture often features wooden floors and sliding doors (shoji), which can create echoing sounds and lack of visual privacy. The Special Education Teacher collaborated with school facilities managers to introduce sensory-friendly zones within classrooms, utilizing soft furnishings and noise-canceling headphones.</w:t>
      </w:r>
    </w:p>
    <w:bookmarkEnd w:id="29"/>
    <w:bookmarkEnd w:id="30"/>
    <w:bookmarkStart w:id="31" w:name="X74d959146b0147ad5df41354cfa95608f67ddf8"/>
    <w:p>
      <w:pPr>
        <w:pStyle w:val="Heading3"/>
      </w:pPr>
      <w:r>
        <w:t xml:space="preserve">5. Challenges Encountered in the Japan Kyoto Setting</w:t>
      </w:r>
    </w:p>
    <w:p>
      <w:pPr>
        <w:pStyle w:val="FirstParagraph"/>
      </w:pPr>
      <w:r>
        <w:t xml:space="preserve">The Lab Report documents several systemic hurdles:</w:t>
      </w:r>
    </w:p>
    <w:p>
      <w:pPr>
        <w:numPr>
          <w:ilvl w:val="0"/>
          <w:numId w:val="1001"/>
        </w:numPr>
        <w:pStyle w:val="Compact"/>
      </w:pPr>
      <w:r>
        <w:rPr>
          <w:bCs/>
          <w:b/>
        </w:rPr>
        <w:t xml:space="preserve">Bureaucratic Hurdles:</w:t>
      </w:r>
    </w:p>
    <w:p>
      <w:pPr>
        <w:numPr>
          <w:ilvl w:val="0"/>
          <w:numId w:val="1001"/>
        </w:numPr>
        <w:pStyle w:val="Compact"/>
      </w:pPr>
      <w:r>
        <w:rPr>
          <w:bCs/>
          <w:b/>
        </w:rPr>
        <w:t xml:space="preserve">Cultural Misunderstanding of Disability:</w:t>
      </w:r>
    </w:p>
    <w:p>
      <w:pPr>
        <w:numPr>
          <w:ilvl w:val="0"/>
          <w:numId w:val="1001"/>
        </w:numPr>
        <w:pStyle w:val="Compact"/>
      </w:pPr>
      <w:r>
        <w:rPr>
          <w:bCs/>
          <w:b/>
        </w:rPr>
        <w:t xml:space="preserve">Resource Allocation:</w:t>
      </w:r>
    </w:p>
    <w:bookmarkEnd w:id="31"/>
    <w:bookmarkStart w:id="32" w:name="Xec5c1c7fa708adbb6fbc4256d58e3a45365c502"/>
    <w:p>
      <w:pPr>
        <w:pStyle w:val="Heading3"/>
      </w:pPr>
      <w:r>
        <w:t xml:space="preserve">6. Recommendations for Future Implementation</w:t>
      </w:r>
    </w:p>
    <w:p>
      <w:pPr>
        <w:pStyle w:val="FirstParagraph"/>
      </w:pPr>
      <w:r>
        <w:t xml:space="preserve">Based on the findings, this Lab Report proposes three key recommendations for stakeholders involved in Special Education Teacher placements in Japan Kyoto:</w:t>
      </w:r>
    </w:p>
    <w:p>
      <w:pPr>
        <w:numPr>
          <w:ilvl w:val="0"/>
          <w:numId w:val="1002"/>
        </w:numPr>
        <w:pStyle w:val="Compact"/>
      </w:pPr>
      <w:r>
        <w:rPr>
          <w:bCs/>
          <w:b/>
        </w:rPr>
        <w:t xml:space="preserve">Cultural Immersion Training:</w:t>
      </w:r>
    </w:p>
    <w:p>
      <w:pPr>
        <w:numPr>
          <w:ilvl w:val="0"/>
          <w:numId w:val="1002"/>
        </w:numPr>
        <w:pStyle w:val="Compact"/>
      </w:pPr>
      <w:r>
        <w:rPr>
          <w:bCs/>
          <w:b/>
        </w:rPr>
        <w:t xml:space="preserve">Bilingual Resource Kits:</w:t>
      </w:r>
    </w:p>
    <w:p>
      <w:pPr>
        <w:numPr>
          <w:ilvl w:val="0"/>
          <w:numId w:val="1002"/>
        </w:numPr>
        <w:pStyle w:val="Compact"/>
      </w:pPr>
      <w:r>
        <w:rPr>
          <w:bCs/>
          <w:b/>
        </w:rPr>
        <w:t xml:space="preserve">Community Integration Programs:</w:t>
      </w:r>
    </w:p>
    <w:bookmarkEnd w:id="32"/>
    <w:bookmarkStart w:id="33" w:name="conclusion"/>
    <w:p>
      <w:pPr>
        <w:pStyle w:val="Heading3"/>
      </w:pPr>
      <w:r>
        <w:t xml:space="preserve">7. Conclusion</w:t>
      </w:r>
    </w:p>
    <w:p>
      <w:pPr>
        <w:pStyle w:val="FirstParagraph"/>
      </w:pPr>
      <w:r>
        <w:t xml:space="preserve">In conclusion, this Lab Report affirms that the role of a Special Education Teacher in Japan Kyoto is multifaceted, requiring not only professional expertise but also significant cultural adaptability. The unique blend of tradition and modernity in Kyoto offers both challenges and opportunities for inclusive education. By adhering to the strategies outlined herein, educational institutions can create an environment where students with special needs thrive academically and socially.</w:t>
      </w:r>
    </w:p>
    <w:p>
      <w:pPr>
        <w:pStyle w:val="BodyText"/>
      </w:pPr>
      <w:r>
        <w:t xml:space="preserve">The successful integration of Special Education principles in Japan Kyoto depends on collaborative efforts between foreign experts, local teachers, parents, and government bodies. This Lab Report serves as a foundational document for future research and policy development in this dynamic region.</w:t>
      </w:r>
    </w:p>
    <w:bookmarkEnd w:id="33"/>
    <w:bookmarkStart w:id="34" w:name="references-and-appendices"/>
    <w:p>
      <w:pPr>
        <w:pStyle w:val="Heading3"/>
      </w:pPr>
      <w:r>
        <w:t xml:space="preserve">8. References and Appendices</w:t>
      </w:r>
    </w:p>
    <w:p>
      <w:pPr>
        <w:pStyle w:val="FirstParagraph"/>
      </w:pPr>
      <w:r>
        <w:rPr>
          <w:iCs/>
          <w:i/>
        </w:rPr>
        <w:t xml:space="preserve">Note: The following references are indicative of the sources utilized during the compilation of this Lab Report regarding Special Education Teacher protocols and Japan Kyoto educational policies.</w:t>
      </w:r>
    </w:p>
    <w:p>
      <w:pPr>
        <w:numPr>
          <w:ilvl w:val="0"/>
          <w:numId w:val="1003"/>
        </w:numPr>
        <w:pStyle w:val="Compact"/>
      </w:pPr>
      <w:r>
        <w:t xml:space="preserve">Kyoto Prefectural Board of Education. (2022). Guidelines for Inclusive Learning Environments.</w:t>
      </w:r>
    </w:p>
    <w:p>
      <w:pPr>
        <w:numPr>
          <w:ilvl w:val="0"/>
          <w:numId w:val="1003"/>
        </w:numPr>
        <w:pStyle w:val="Compact"/>
      </w:pPr>
      <w:r>
        <w:t xml:space="preserve">Tanaka, H., &amp; Smith, J. (2021). Cultural Barriers to Special Needs Education in Rural Japan.</w:t>
      </w:r>
    </w:p>
    <w:p>
      <w:pPr>
        <w:numPr>
          <w:ilvl w:val="0"/>
          <w:numId w:val="1003"/>
        </w:numPr>
        <w:pStyle w:val="Compact"/>
      </w:pPr>
      <w:r>
        <w:t xml:space="preserve">Ministry of Education, Culture, Sports, Science and Technology (MEXT). (2023). White Paper on Special Education Support.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Deployment in Japan, Kyoto</dc:title>
  <dc:creator/>
  <dc:language>en</dc:language>
  <cp:keywords/>
  <dcterms:created xsi:type="dcterms:W3CDTF">2026-07-29T17:36:40Z</dcterms:created>
  <dcterms:modified xsi:type="dcterms:W3CDTF">2026-07-29T17:36:40Z</dcterms:modified>
</cp:coreProperties>
</file>

<file path=docProps/custom.xml><?xml version="1.0" encoding="utf-8"?>
<Properties xmlns="http://schemas.openxmlformats.org/officeDocument/2006/custom-properties" xmlns:vt="http://schemas.openxmlformats.org/officeDocument/2006/docPropsVTypes"/>
</file>