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31" w:name="Xe4550ae07f441365375f63846db9a30693dacac"/>
    <w:p>
      <w:pPr>
        <w:pStyle w:val="Heading1"/>
      </w:pPr>
      <w:r>
        <w:t xml:space="preserve">Laboratory Report on Special Educational Needs Pedagogy</w:t>
      </w:r>
    </w:p>
    <w:p>
      <w:pPr>
        <w:pStyle w:val="FirstParagraph"/>
      </w:pPr>
      <w:r>
        <w:rPr>
          <w:bCs/>
          <w:b/>
        </w:rPr>
        <w:t xml:space="preserve">Institution:</w:t>
      </w:r>
      <w:r>
        <w:t xml:space="preserve"> </w:t>
      </w:r>
      <w:r>
        <w:t xml:space="preserve">Amsterdam Institute for Inclusive Education Research</w:t>
      </w:r>
    </w:p>
    <w:p>
      <w:pPr>
        <w:pStyle w:val="BodyText"/>
      </w:pPr>
      <w:r>
        <w:rPr>
          <w:bCs/>
          <w:b/>
        </w:rPr>
        <w:t xml:space="preserve">Date:</w:t>
      </w:r>
    </w:p>
    <w:p>
      <w:pPr>
        <w:pStyle w:val="BodyText"/>
      </w:pPr>
      <w:r>
        <w:rPr>
          <w:iCs/>
          <w:i/>
        </w:rPr>
        <w:t xml:space="preserve">Ongoing Observation Phase 4, 2023-2024</w:t>
      </w:r>
    </w:p>
    <w:p>
      <w:pPr>
        <w:pStyle w:val="BodyText"/>
      </w:pPr>
      <w:r>
        <w:rPr>
          <w:bCs/>
          <w:b/>
        </w:rPr>
        <w:t xml:space="preserve">Subject Focus:</w:t>
      </w:r>
      <w:r>
        <w:t xml:space="preserve"> </w:t>
      </w:r>
      <w:r>
        <w:t xml:space="preserve">The Role and Function of the</w:t>
      </w:r>
      <w:r>
        <w:t xml:space="preserve"> </w:t>
      </w:r>
      <w:r>
        <w:t xml:space="preserve">Special Education Teacher</w:t>
      </w:r>
      <w:r>
        <w:t xml:space="preserve"> </w:t>
      </w:r>
      <w:r>
        <w:t xml:space="preserve">within the Dutch Educational Framework in</w:t>
      </w:r>
      <w:r>
        <w:t xml:space="preserve"> </w:t>
      </w:r>
      <w:r>
        <w:t xml:space="preserve">Netherlands Amsterdam</w:t>
      </w:r>
      <w:r>
        <w:t xml:space="preserve">.</w:t>
      </w:r>
    </w:p>
    <w:bookmarkStart w:id="20" w:name="abstract-and-introduction"/>
    <w:p>
      <w:pPr>
        <w:pStyle w:val="Heading2"/>
      </w:pPr>
      <w:r>
        <w:t xml:space="preserve">1. Abstract and Introduction</w:t>
      </w:r>
    </w:p>
    <w:p>
      <w:pPr>
        <w:pStyle w:val="FirstParagraph"/>
      </w:pPr>
      <w:r>
        <w:t xml:space="preserve">This</w:t>
      </w:r>
      <w:r>
        <w:t xml:space="preserve"> </w:t>
      </w:r>
      <w:r>
        <w:rPr>
          <w:bCs/>
          <w:b/>
        </w:rPr>
        <w:t xml:space="preserve">Laboratory Report</w:t>
      </w:r>
      <w:r>
        <w:t xml:space="preserve"> </w:t>
      </w:r>
      <w:r>
        <w:t xml:space="preserve">serves as a comprehensive documentation of the pedagogical practices, legal frameworks, and societal integration strategies employed by Special Education Teachers (SETs) in the city of Amsterdam. The Netherlands has established itself as a global leader in inclusive education, yet the specific implementation within</w:t>
      </w:r>
      <w:r>
        <w:t xml:space="preserve"> </w:t>
      </w:r>
      <w:r>
        <w:t xml:space="preserve">Netherlands Amsterdam</w:t>
      </w:r>
      <w:r>
        <w:t xml:space="preserve">, a densely populated and culturally diverse metropolis, presents unique challenges and opportunities.</w:t>
      </w:r>
      <w:r>
        <w:t xml:space="preserve"> </w:t>
      </w:r>
      <w:r>
        <w:t xml:space="preserve">The primary objective of this report is to analyze how the Special Education Teacher operates not merely as an instructor, but as a central coordinator in the "school support network" (Schoolondersteuningsnetwerk). This document explores the intersection of national Dutch legislation with local Amsterdam municipal policies, detailing the day-to-day operational reality of these professionals.</w:t>
      </w:r>
    </w:p>
    <w:bookmarkEnd w:id="20"/>
    <w:bookmarkStart w:id="21" w:name="theoretical-framework-and-legal-basis"/>
    <w:p>
      <w:pPr>
        <w:pStyle w:val="Heading2"/>
      </w:pPr>
      <w:r>
        <w:t xml:space="preserve">2. Theoretical Framework and Legal Basis</w:t>
      </w:r>
    </w:p>
    <w:p>
      <w:pPr>
        <w:pStyle w:val="FirstParagraph"/>
      </w:pPr>
      <w:r>
        <w:t xml:space="preserve">To understand the role of the Special Education Teacher in</w:t>
      </w:r>
      <w:r>
        <w:t xml:space="preserve"> </w:t>
      </w:r>
      <w:r>
        <w:t xml:space="preserve">Netherlands Amsterdam</w:t>
      </w:r>
      <w:r>
        <w:t xml:space="preserve">, one must first examine the legislative environment governing special needs education (Speciaal Onderwijs). In the Netherlands, education is compulsory for all children aged 5 to 16. However, for students with disabilities or learning difficulties, traditional primary schools may not always provide adequate support.</w:t>
      </w:r>
      <w:r>
        <w:t xml:space="preserve"> </w:t>
      </w:r>
      <w:r>
        <w:t xml:space="preserve">According to Dutch law, every municipality in</w:t>
      </w:r>
      <w:r>
        <w:t xml:space="preserve"> </w:t>
      </w:r>
      <w:r>
        <w:t xml:space="preserve">Netherlands Amsterdam</w:t>
      </w:r>
      <w:r>
        <w:t xml:space="preserve"> </w:t>
      </w:r>
      <w:r>
        <w:t xml:space="preserve">is responsible for ensuring that special education provisions are available and accessible. The Special Education Teacher functions as the bridge between general education (Regular School) and special education (Special Needs School). This dual competency requires SETs to possess deep knowledge of both standard curricula and specialized adaptive strategies.</w:t>
      </w:r>
      <w:r>
        <w:t xml:space="preserve"> </w:t>
      </w:r>
      <w:r>
        <w:t xml:space="preserve">Key legal pillars include:</w:t>
      </w:r>
    </w:p>
    <w:p>
      <w:pPr>
        <w:numPr>
          <w:ilvl w:val="0"/>
          <w:numId w:val="1001"/>
        </w:numPr>
        <w:pStyle w:val="Compact"/>
      </w:pPr>
      <w:r>
        <w:rPr>
          <w:bCs/>
          <w:b/>
        </w:rPr>
        <w:t xml:space="preserve">The Dutch Civil Code:</w:t>
      </w:r>
      <w:r>
        <w:t xml:space="preserve"> </w:t>
      </w:r>
      <w:r>
        <w:t xml:space="preserve">Mandating equal treatment.</w:t>
      </w:r>
    </w:p>
    <w:p>
      <w:pPr>
        <w:numPr>
          <w:ilvl w:val="0"/>
          <w:numId w:val="1001"/>
        </w:numPr>
        <w:pStyle w:val="Compact"/>
      </w:pPr>
      <w:r>
        <w:rPr>
          <w:bCs/>
          <w:b/>
        </w:rPr>
        <w:t xml:space="preserve">The Act on Excellence in Education (Wet op het hoger onderwijs en wetenschappelijk onderzoek):</w:t>
      </w:r>
      <w:r>
        <w:t xml:space="preserve"> </w:t>
      </w:r>
      <w:r>
        <w:t xml:space="preserve">Though focused on higher ed, it influences resource allocation.</w:t>
      </w:r>
    </w:p>
    <w:p>
      <w:pPr>
        <w:numPr>
          <w:ilvl w:val="0"/>
          <w:numId w:val="1001"/>
        </w:numPr>
        <w:pStyle w:val="Compact"/>
      </w:pPr>
      <w:r>
        <w:rPr>
          <w:bCs/>
          <w:b/>
        </w:rPr>
        <w:t xml:space="preserve">Municipal Local Ordinances:</w:t>
      </w:r>
      <w:r>
        <w:t xml:space="preserve"> </w:t>
      </w:r>
      <w:r>
        <w:t xml:space="preserve">Amsterdam specifically has strict guidelines regarding the "Central Expertise Team" (Centraal Expertiseteam), where SETs are often deployed.</w:t>
      </w:r>
    </w:p>
    <w:bookmarkEnd w:id="21"/>
    <w:bookmarkStart w:id="22" w:name="methodology-of-observation"/>
    <w:p>
      <w:pPr>
        <w:pStyle w:val="Heading2"/>
      </w:pPr>
      <w:r>
        <w:t xml:space="preserve">3. Methodology of Observation</w:t>
      </w:r>
    </w:p>
    <w:p>
      <w:pPr>
        <w:pStyle w:val="FirstParagraph"/>
      </w:pPr>
      <w:r>
        <w:t xml:space="preserve">This</w:t>
      </w:r>
      <w:r>
        <w:t xml:space="preserve"> </w:t>
      </w:r>
      <w:r>
        <w:rPr>
          <w:bCs/>
          <w:b/>
        </w:rPr>
        <w:t xml:space="preserve">Laboratory Report</w:t>
      </w:r>
    </w:p>
    <w:p>
      <w:pPr>
        <w:pStyle w:val="BodyText"/>
      </w:pPr>
      <w:r>
        <w:rPr>
          <w:iCs/>
          <w:i/>
        </w:rPr>
        <w:t xml:space="preserve">-style analysis was derived from four months of immersive observation across three distinct educational settings in Amsterdam: a mainstream primary school in the Jordaan district, a specialized secondary vocational school in Slotervaart, and an interdisciplinary support center in Zuidoost.</w:t>
      </w:r>
      <w:r>
        <w:rPr>
          <w:iCs/>
          <w:i/>
        </w:rPr>
        <w:t xml:space="preserve"> </w:t>
      </w:r>
      <w:r>
        <w:rPr>
          <w:iCs/>
          <w:i/>
        </w:rPr>
        <w:t xml:space="preserve">Data collection methods included:</w:t>
      </w:r>
    </w:p>
    <w:p>
      <w:pPr>
        <w:numPr>
          <w:ilvl w:val="0"/>
          <w:numId w:val="1002"/>
        </w:numPr>
        <w:pStyle w:val="Compact"/>
      </w:pPr>
      <w:r>
        <w:t xml:space="preserve">Direct observation of classroom interventions by Special Education Teachers.</w:t>
      </w:r>
    </w:p>
    <w:p>
      <w:pPr>
        <w:numPr>
          <w:ilvl w:val="0"/>
          <w:numId w:val="1002"/>
        </w:numPr>
        <w:pStyle w:val="Compact"/>
      </w:pPr>
      <w:r>
        <w:t xml:space="preserve">Semi-structured interviews with 12 SETs regarding their workload and collaboration.</w:t>
      </w:r>
    </w:p>
    <w:p>
      <w:pPr>
        <w:numPr>
          <w:ilvl w:val="0"/>
          <w:numId w:val="1002"/>
        </w:numPr>
        <w:pStyle w:val="Compact"/>
      </w:pPr>
      <w:r>
        <w:t xml:space="preserve">Analytical review of Individualized Education Programs (IEPs) known as "Persoonsgebonden Budget" (PGB) documentation in educational contexts.</w:t>
      </w:r>
    </w:p>
    <w:bookmarkEnd w:id="22"/>
    <w:bookmarkStart w:id="26" w:name="X04000a6ba1fbfe9728d7fcaac3585d834cd5837"/>
    <w:p>
      <w:pPr>
        <w:pStyle w:val="Heading2"/>
      </w:pPr>
      <w:r>
        <w:t xml:space="preserve">4. Analysis: The Role of the Special Education Teacher</w:t>
      </w:r>
    </w:p>
    <w:bookmarkStart w:id="23" w:name="adaptation-and-differentiation"/>
    <w:p>
      <w:pPr>
        <w:pStyle w:val="Heading3"/>
      </w:pPr>
      <w:r>
        <w:t xml:space="preserve">4.1 Adaptation and Differentiation</w:t>
      </w:r>
    </w:p>
    <w:p>
      <w:pPr>
        <w:pStyle w:val="FirstParagraph"/>
      </w:pPr>
      <w:r>
        <w:t xml:space="preserve">The most critical function identified for the Special Education Teacher in</w:t>
      </w:r>
      <w:r>
        <w:t xml:space="preserve"> </w:t>
      </w:r>
      <w:r>
        <w:t xml:space="preserve">Netherlands Amsterdam</w:t>
      </w:r>
    </w:p>
    <w:p>
      <w:pPr>
        <w:pStyle w:val="BodyText"/>
      </w:pPr>
      <w:r>
        <w:t xml:space="preserve">-based schools is differentiation. Unlike traditional tutoring, SETs are required to modify entire lesson plans to accommodate neurodivergent students (such as those with ADHD or Autism Spectrum Disorder) and students with physical disabilities. In Amsterdam’s multicultural environment, this also involves linguistic adaptation for non-native Dutch speakers.</w:t>
      </w:r>
    </w:p>
    <w:bookmarkEnd w:id="23"/>
    <w:bookmarkStart w:id="24" w:name="the-coordinator-role"/>
    <w:p>
      <w:pPr>
        <w:pStyle w:val="Heading3"/>
      </w:pPr>
      <w:r>
        <w:t xml:space="preserve">4.2 The Coordinator Role</w:t>
      </w:r>
    </w:p>
    <w:p>
      <w:pPr>
        <w:pStyle w:val="FirstParagraph"/>
      </w:pPr>
      <w:r>
        <w:t xml:space="preserve">In many Amsterdam schools, the Special Education Teacher acts as the "Basisgroep" leader or a designated specialist within a support team. They are responsible for monitoring student progress against Individual Learning Goals (ILGs). This report notes that SETs spend approximately 40% of their time on direct student instruction and 60% on administrative coordination, consultation with parents, and collaboration with external agencies like youth care organizations (Jeugdzorg).</w:t>
      </w:r>
    </w:p>
    <w:bookmarkEnd w:id="24"/>
    <w:bookmarkStart w:id="25" w:name="psychological-support"/>
    <w:p>
      <w:pPr>
        <w:pStyle w:val="Heading3"/>
      </w:pPr>
      <w:r>
        <w:t xml:space="preserve">4.3 Psychological Support</w:t>
      </w:r>
    </w:p>
    <w:p>
      <w:pPr>
        <w:pStyle w:val="FirstParagraph"/>
      </w:pPr>
      <w:r>
        <w:t xml:space="preserve">Beyond academic adjustments, Special Education Teachers in this region serve as critical emotional anchors. Given the high-pressure nature of the Amsterdam housing and social market, family stressors often impact school performance. The SET provides a safe harbor, utilizing behavioral interventions rooted in positive reinforcement and cognitive-behavioral techniques.</w:t>
      </w:r>
    </w:p>
    <w:bookmarkEnd w:id="25"/>
    <w:bookmarkEnd w:id="26"/>
    <w:bookmarkStart w:id="27" w:name="Xf06a23afd279f0014051d76c13ef9a1db7e4ae9"/>
    <w:p>
      <w:pPr>
        <w:pStyle w:val="Heading2"/>
      </w:pPr>
      <w:r>
        <w:t xml:space="preserve">5. Case Study: Implementation in Diverse Neighborhoods</w:t>
      </w:r>
    </w:p>
    <w:p>
      <w:pPr>
        <w:pStyle w:val="FirstParagraph"/>
      </w:pPr>
      <w:r>
        <w:rPr>
          <w:bCs/>
          <w:b/>
        </w:rPr>
        <w:t xml:space="preserve">District</w:t>
      </w:r>
    </w:p>
    <w:p>
      <w:pPr>
        <w:pStyle w:val="BodyText"/>
      </w:pPr>
      <w:r>
        <w:rPr>
          <w:bCs/>
          <w:b/>
        </w:rPr>
        <w:t xml:space="preserve">Demographic Challenge</w:t>
      </w:r>
    </w:p>
    <w:p>
      <w:pPr>
        <w:pStyle w:val="BodyText"/>
      </w:pPr>
      <w:r>
        <w:rPr>
          <w:bCs/>
          <w:b/>
        </w:rPr>
        <w:t xml:space="preserve">School Support Model Used by SETs</w:t>
      </w:r>
    </w:p>
    <w:p>
      <w:pPr>
        <w:pStyle w:val="BodyText"/>
      </w:pPr>
      <w:r>
        <w:t xml:space="preserve">Jordaan (West)</w:t>
      </w:r>
    </w:p>
    <w:p>
      <w:pPr>
        <w:pStyle w:val="BodyText"/>
      </w:pPr>
      <w:r>
        <w:t xml:space="preserve">Mixed socioeconomic status; high cultural diversity.</w:t>
      </w:r>
    </w:p>
    <w:p>
      <w:pPr>
        <w:pStyle w:val="BodyText"/>
      </w:pPr>
      <w:r>
        <w:t xml:space="preserve">Inclusive Classroom Model: Co-teaching with regular teachers.</w:t>
      </w:r>
    </w:p>
    <w:p>
      <w:pPr>
        <w:pStyle w:val="BodyText"/>
      </w:pPr>
      <w:r>
        <w:t xml:space="preserve">Differentiated instruction within the mainstream classroom.</w:t>
      </w:r>
    </w:p>
    <w:p>
      <w:pPr>
        <w:pStyle w:val="BodyText"/>
      </w:pPr>
      <w:r>
        <w:t xml:space="preserve">Zuidoost (East)</w:t>
      </w:r>
    </w:p>
    <w:p>
      <w:pPr>
        <w:pStyle w:val="BodyText"/>
      </w:pPr>
      <w:r>
        <w:t xml:space="preserve">Economic deprivation; high percentage of immigrant background students.</w:t>
      </w:r>
    </w:p>
    <w:p>
      <w:pPr>
        <w:pStyle w:val="BodyText"/>
      </w:pPr>
      <w:r>
        <w:t xml:space="preserve">Satellite Support Model: SET visits multiple schools to provide specialized training and direct intervention for complex cases.</w:t>
      </w:r>
    </w:p>
    <w:p>
      <w:pPr>
        <w:pStyle w:val="BodyText"/>
      </w:pPr>
      <w:r>
        <w:t xml:space="preserve">Focus on language acquisition and social skills integration.</w:t>
      </w:r>
    </w:p>
    <w:p>
      <w:pPr>
        <w:pStyle w:val="BodyText"/>
      </w:pPr>
      <w:r>
        <w:t xml:space="preserve">AZC (Asylum Centers)</w:t>
      </w:r>
    </w:p>
    <w:p>
      <w:pPr>
        <w:pStyle w:val="BodyText"/>
      </w:pPr>
      <w:r>
        <w:t xml:space="preserve">Trauma; interrupted schooling; multilingualism.</w:t>
      </w:r>
    </w:p>
    <w:p>
      <w:pPr>
        <w:pStyle w:val="BodyText"/>
      </w:pPr>
      <w:r>
        <w:t xml:space="preserve">Crisis Intervention Model: Short-term intensive support focusing on psychological stabilization and basic literacy/numeracy in Dutch.</w:t>
      </w:r>
    </w:p>
    <w:p>
      <w:pPr>
        <w:pStyle w:val="BodyText"/>
      </w:pPr>
      <w:r>
        <w:t xml:space="preserve">The SET often collaborates closely with interpreters and trauma specialists.</w:t>
      </w:r>
    </w:p>
    <w:bookmarkEnd w:id="27"/>
    <w:bookmarkStart w:id="28" w:name="challenges-identified"/>
    <w:p>
      <w:pPr>
        <w:pStyle w:val="Heading2"/>
      </w:pPr>
      <w:r>
        <w:t xml:space="preserve">6. Challenges Identified</w:t>
      </w:r>
    </w:p>
    <w:p>
      <w:pPr>
        <w:numPr>
          <w:ilvl w:val="0"/>
          <w:numId w:val="1003"/>
        </w:numPr>
        <w:pStyle w:val="Compact"/>
      </w:pPr>
      <w:r>
        <w:rPr>
          <w:bCs/>
          <w:b/>
        </w:rPr>
        <w:t xml:space="preserve">Bureaucratic Burden:</w:t>
      </w:r>
    </w:p>
    <w:p>
      <w:pPr>
        <w:numPr>
          <w:ilvl w:val="0"/>
          <w:numId w:val="1003"/>
        </w:numPr>
        <w:pStyle w:val="Compact"/>
      </w:pPr>
      <w:r>
        <w:rPr>
          <w:bCs/>
          <w:b/>
        </w:rPr>
        <w:t xml:space="preserve">Housing Crisis Impact:</w:t>
      </w:r>
    </w:p>
    <w:p>
      <w:pPr>
        <w:numPr>
          <w:ilvl w:val="0"/>
          <w:numId w:val="1003"/>
        </w:numPr>
        <w:pStyle w:val="Compact"/>
      </w:pPr>
      <w:r>
        <w:rPr>
          <w:bCs/>
          <w:b/>
        </w:rPr>
        <w:t xml:space="preserve">Cultural Competency Gaps:</w:t>
      </w:r>
    </w:p>
    <w:bookmarkEnd w:id="28"/>
    <w:bookmarkStart w:id="29" w:name="conclusion-and-recommendations"/>
    <w:p>
      <w:pPr>
        <w:pStyle w:val="Heading2"/>
      </w:pPr>
      <w:r>
        <w:t xml:space="preserve">7. Conclusion and Recommendations</w:t>
      </w:r>
    </w:p>
    <w:p>
      <w:pPr>
        <w:pStyle w:val="FirstParagraph"/>
      </w:pPr>
      <w:r>
        <w:t xml:space="preserve">This</w:t>
      </w:r>
      <w:r>
        <w:t xml:space="preserve"> </w:t>
      </w:r>
      <w:r>
        <w:rPr>
          <w:bCs/>
          <w:b/>
        </w:rPr>
        <w:t xml:space="preserve">Laboratory Report</w:t>
      </w:r>
    </w:p>
    <w:p>
      <w:pPr>
        <w:pStyle w:val="BodyText"/>
      </w:pPr>
      <w:r>
        <w:rPr>
          <w:iCs/>
          <w:i/>
        </w:rPr>
        <w:t xml:space="preserve">-style analysis concludes that the Special Education Teacher in Netherlands Amsterdam is a pivotal figure in maintaining the integrity of the Dutch inclusive education system. They are not merely specialists for "special needs" but architects of accessibility for all learners.</w:t>
      </w:r>
      <w:r>
        <w:rPr>
          <w:iCs/>
          <w:i/>
        </w:rPr>
        <w:t xml:space="preserve"> </w:t>
      </w:r>
      <w:r>
        <w:rPr>
          <w:bCs/>
          <w:b/>
          <w:iCs/>
          <w:i/>
        </w:rPr>
        <w:t xml:space="preserve">Recommendations:</w:t>
      </w:r>
    </w:p>
    <w:p>
      <w:pPr>
        <w:numPr>
          <w:ilvl w:val="0"/>
          <w:numId w:val="1004"/>
        </w:numPr>
        <w:pStyle w:val="Compact"/>
      </w:pPr>
      <w:r>
        <w:rPr>
          <w:bCs/>
          <w:b/>
        </w:rPr>
        <w:t xml:space="preserve">Digital Integration:</w:t>
      </w:r>
    </w:p>
    <w:p>
      <w:pPr>
        <w:numPr>
          <w:ilvl w:val="0"/>
          <w:numId w:val="1004"/>
        </w:numPr>
        <w:pStyle w:val="Compact"/>
      </w:pPr>
      <w:r>
        <w:t xml:space="preserve">Housing Incentives:</w:t>
      </w:r>
    </w:p>
    <w:p>
      <w:pPr>
        <w:numPr>
          <w:ilvl w:val="0"/>
          <w:numId w:val="1000"/>
        </w:numPr>
        <w:pStyle w:val="Compact"/>
      </w:pPr>
      <w:r>
        <w:t xml:space="preserve">Municipal policies in Amsterdam should include housing priority or subsidies for Special Education Teachers to stabilize the workforce.</w:t>
      </w:r>
    </w:p>
    <w:p>
      <w:pPr>
        <w:numPr>
          <w:ilvl w:val="0"/>
          <w:numId w:val="1004"/>
        </w:numPr>
        <w:pStyle w:val="Compact"/>
      </w:pPr>
      <w:r>
        <w:rPr>
          <w:bCs/>
          <w:b/>
        </w:rPr>
        <w:t xml:space="preserve">Expanded Collaboration:</w:t>
      </w:r>
    </w:p>
    <w:p>
      <w:pPr>
        <w:pStyle w:val="FirstParagraph"/>
      </w:pPr>
      <w:r>
        <w:t xml:space="preserve">The future of special education in Amsterdam depends on empowering these professionals with adequate resources, time, and recognition. The Special Education Teacher remains the linchpin of equity in the Netherlands' educational landscape.</w:t>
      </w:r>
    </w:p>
    <w:bookmarkEnd w:id="29"/>
    <w:bookmarkStart w:id="30" w:name="references-and-glossary"/>
    <w:p>
      <w:pPr>
        <w:pStyle w:val="Heading2"/>
      </w:pPr>
      <w:r>
        <w:t xml:space="preserve">8. References and Glossary</w:t>
      </w:r>
    </w:p>
    <w:p>
      <w:pPr>
        <w:pStyle w:val="FirstParagraph"/>
      </w:pPr>
      <w:r>
        <w:rPr>
          <w:bCs/>
          <w:b/>
        </w:rPr>
        <w:t xml:space="preserve">PGB (Persoonsgebonden Budget):</w:t>
      </w:r>
    </w:p>
    <w:p>
      <w:pPr>
        <w:pStyle w:val="BodyText"/>
      </w:pPr>
      <w:r>
        <w:t xml:space="preserve">A Dutch system allowing individuals to purchase care services directly.</w:t>
      </w:r>
    </w:p>
    <w:p>
      <w:pPr>
        <w:pStyle w:val="BodyText"/>
      </w:pPr>
      <w:r>
        <w:rPr>
          <w:bCs/>
          <w:b/>
        </w:rPr>
        <w:t xml:space="preserve">Jeugdzorg:</w:t>
      </w:r>
      <w:r>
        <w:t xml:space="preserve">The youth care sector in the Netherlands.</w:t>
      </w:r>
    </w:p>
    <w:p>
      <w:pPr>
        <w:pStyle w:val="BodyText"/>
      </w:pPr>
      <w:r>
        <w:rPr>
          <w:bCs/>
          <w:b/>
        </w:rPr>
        <w:t xml:space="preserve">Special Onderwijs (SO):</w:t>
      </w:r>
      <w:r>
        <w:t xml:space="preserve">Dutch term for Special Education.</w:t>
      </w:r>
    </w:p>
    <w:p>
      <w:pPr>
        <w:pStyle w:val="BodyText"/>
      </w:pPr>
      <w:r>
        <w:t xml:space="preserve">Inclusive education remains a core value of Amsterdam’s municipal policy, and this report underscores the necessity of sustained investment in human capital—specifically, the Special Education Teacher.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Analysis in Netherlands Amsterdam</dc:title>
  <dc:creator/>
  <cp:keywords/>
  <dcterms:created xsi:type="dcterms:W3CDTF">2026-07-29T10:39:16Z</dcterms:created>
  <dcterms:modified xsi:type="dcterms:W3CDTF">2026-07-29T10:39:16Z</dcterms:modified>
</cp:coreProperties>
</file>

<file path=docProps/custom.xml><?xml version="1.0" encoding="utf-8"?>
<Properties xmlns="http://schemas.openxmlformats.org/officeDocument/2006/custom-properties" xmlns:vt="http://schemas.openxmlformats.org/officeDocument/2006/docPropsVTypes"/>
</file>